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1152" w14:textId="6BE885AA" w:rsidR="005113BD" w:rsidRDefault="00B50641">
      <w:pPr>
        <w:jc w:val="center"/>
        <w:rPr>
          <w:b/>
          <w:sz w:val="28"/>
          <w:szCs w:val="28"/>
        </w:rPr>
      </w:pPr>
      <w:r>
        <w:rPr>
          <w:noProof/>
        </w:rPr>
        <w:drawing>
          <wp:inline distT="0" distB="0" distL="0" distR="0" wp14:anchorId="6513E2FB" wp14:editId="46F7AC86">
            <wp:extent cx="1933575" cy="1219200"/>
            <wp:effectExtent l="0" t="0" r="0" b="0"/>
            <wp:docPr id="2" name="Picture 2" descr="Une image contenant très coloré, brillant, drap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 image contenant très coloré, brillant, drapeau&#10;&#10;Description générée automatiquement"/>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219200"/>
                    </a:xfrm>
                    <a:prstGeom prst="rect">
                      <a:avLst/>
                    </a:prstGeom>
                    <a:ln>
                      <a:noFill/>
                    </a:ln>
                    <a:effectLst>
                      <a:softEdge rad="112500"/>
                    </a:effectLst>
                  </pic:spPr>
                </pic:pic>
              </a:graphicData>
            </a:graphic>
          </wp:inline>
        </w:drawing>
      </w:r>
    </w:p>
    <w:p w14:paraId="65909003" w14:textId="1EE1339C" w:rsidR="005113BD" w:rsidRDefault="005113BD">
      <w:pPr>
        <w:jc w:val="center"/>
        <w:rPr>
          <w:b/>
          <w:sz w:val="28"/>
          <w:szCs w:val="28"/>
        </w:rPr>
      </w:pPr>
    </w:p>
    <w:p w14:paraId="76EB6CD8" w14:textId="139B7A0D" w:rsidR="005113BD" w:rsidRDefault="005113BD" w:rsidP="005113BD">
      <w:pPr>
        <w:ind w:right="390"/>
        <w:jc w:val="center"/>
      </w:pPr>
      <w:r w:rsidRPr="00E9272C">
        <w:rPr>
          <w:b/>
          <w:bCs/>
          <w:color w:val="002060"/>
          <w:sz w:val="32"/>
          <w:szCs w:val="32"/>
          <w:lang w:eastAsia="zh-CN"/>
        </w:rPr>
        <w:t>Support to civil society participation in the implementation of EU trade agreements</w:t>
      </w:r>
      <w:r w:rsidR="006C055C">
        <w:rPr>
          <w:b/>
          <w:bCs/>
          <w:color w:val="002060"/>
          <w:sz w:val="32"/>
          <w:szCs w:val="32"/>
          <w:lang w:eastAsia="zh-CN"/>
        </w:rPr>
        <w:t xml:space="preserve"> Project</w:t>
      </w:r>
    </w:p>
    <w:p w14:paraId="28AA8EDC" w14:textId="77777777" w:rsidR="00BC4042" w:rsidRDefault="00BC4042" w:rsidP="00BC4042">
      <w:pPr>
        <w:widowControl w:val="0"/>
        <w:rPr>
          <w:b/>
          <w:bCs/>
          <w:sz w:val="32"/>
          <w:szCs w:val="32"/>
          <w:u w:val="single"/>
          <w:lang w:eastAsia="zh-CN"/>
        </w:rPr>
      </w:pPr>
    </w:p>
    <w:p w14:paraId="78F880EB" w14:textId="1B626432" w:rsidR="005113BD" w:rsidRPr="00E10CA9" w:rsidRDefault="005113BD" w:rsidP="006C055C">
      <w:pPr>
        <w:widowControl w:val="0"/>
        <w:jc w:val="center"/>
        <w:rPr>
          <w:rFonts w:asciiTheme="majorHAnsi" w:hAnsiTheme="majorHAnsi" w:cstheme="majorHAnsi"/>
          <w:b/>
          <w:bCs/>
          <w:sz w:val="28"/>
          <w:szCs w:val="28"/>
          <w:u w:val="single"/>
          <w:lang w:val="es-ES" w:eastAsia="zh-CN"/>
        </w:rPr>
      </w:pPr>
      <w:r w:rsidRPr="00E10CA9">
        <w:rPr>
          <w:rFonts w:asciiTheme="majorHAnsi" w:hAnsiTheme="majorHAnsi" w:cstheme="majorHAnsi"/>
          <w:b/>
          <w:bCs/>
          <w:sz w:val="28"/>
          <w:szCs w:val="28"/>
          <w:u w:val="single"/>
          <w:lang w:val="es-ES" w:eastAsia="zh-CN"/>
        </w:rPr>
        <w:t>EU-</w:t>
      </w:r>
      <w:r w:rsidR="00BC4042" w:rsidRPr="00E10CA9">
        <w:rPr>
          <w:rFonts w:asciiTheme="majorHAnsi" w:hAnsiTheme="majorHAnsi" w:cstheme="majorHAnsi"/>
          <w:b/>
          <w:bCs/>
          <w:sz w:val="28"/>
          <w:szCs w:val="28"/>
          <w:u w:val="single"/>
          <w:lang w:val="es-ES" w:eastAsia="zh-CN"/>
        </w:rPr>
        <w:t>Colombia/</w:t>
      </w:r>
      <w:proofErr w:type="spellStart"/>
      <w:r w:rsidR="00BC4042" w:rsidRPr="00E10CA9">
        <w:rPr>
          <w:rFonts w:asciiTheme="majorHAnsi" w:hAnsiTheme="majorHAnsi" w:cstheme="majorHAnsi"/>
          <w:b/>
          <w:bCs/>
          <w:sz w:val="28"/>
          <w:szCs w:val="28"/>
          <w:u w:val="single"/>
          <w:lang w:val="es-ES" w:eastAsia="zh-CN"/>
        </w:rPr>
        <w:t>Peru</w:t>
      </w:r>
      <w:proofErr w:type="spellEnd"/>
      <w:r w:rsidR="00BC4042" w:rsidRPr="00E10CA9">
        <w:rPr>
          <w:rFonts w:asciiTheme="majorHAnsi" w:hAnsiTheme="majorHAnsi" w:cstheme="majorHAnsi"/>
          <w:b/>
          <w:bCs/>
          <w:sz w:val="28"/>
          <w:szCs w:val="28"/>
          <w:u w:val="single"/>
          <w:lang w:val="es-ES" w:eastAsia="zh-CN"/>
        </w:rPr>
        <w:t>/Ecuador</w:t>
      </w:r>
      <w:r w:rsidRPr="00E10CA9">
        <w:rPr>
          <w:rFonts w:asciiTheme="majorHAnsi" w:hAnsiTheme="majorHAnsi" w:cstheme="majorHAnsi"/>
          <w:b/>
          <w:bCs/>
          <w:sz w:val="28"/>
          <w:szCs w:val="28"/>
          <w:u w:val="single"/>
          <w:lang w:val="es-ES" w:eastAsia="zh-CN"/>
        </w:rPr>
        <w:t xml:space="preserve"> DESK STUDY</w:t>
      </w:r>
    </w:p>
    <w:p w14:paraId="7076A1EB" w14:textId="4979EA85" w:rsidR="005113BD" w:rsidRPr="006C055C" w:rsidRDefault="006C055C" w:rsidP="006C055C">
      <w:pPr>
        <w:widowControl w:val="0"/>
        <w:ind w:left="2160" w:firstLine="720"/>
        <w:rPr>
          <w:rFonts w:asciiTheme="majorHAnsi" w:hAnsiTheme="majorHAnsi" w:cstheme="majorHAnsi"/>
          <w:b/>
          <w:bCs/>
          <w:i/>
          <w:iCs/>
          <w:sz w:val="28"/>
          <w:szCs w:val="28"/>
          <w:highlight w:val="yellow"/>
          <w:lang w:eastAsia="zh-CN"/>
        </w:rPr>
      </w:pPr>
      <w:r w:rsidRPr="00E10CA9">
        <w:rPr>
          <w:rFonts w:asciiTheme="majorHAnsi" w:hAnsiTheme="majorHAnsi" w:cstheme="majorHAnsi"/>
          <w:b/>
          <w:bCs/>
          <w:i/>
          <w:iCs/>
          <w:sz w:val="28"/>
          <w:szCs w:val="28"/>
          <w:lang w:val="es-ES" w:eastAsia="zh-CN"/>
        </w:rPr>
        <w:t xml:space="preserve">   </w:t>
      </w:r>
      <w:r w:rsidR="005113BD" w:rsidRPr="006C055C">
        <w:rPr>
          <w:rFonts w:asciiTheme="majorHAnsi" w:hAnsiTheme="majorHAnsi" w:cstheme="majorHAnsi"/>
          <w:b/>
          <w:bCs/>
          <w:i/>
          <w:iCs/>
          <w:sz w:val="28"/>
          <w:szCs w:val="28"/>
          <w:lang w:eastAsia="zh-CN"/>
        </w:rPr>
        <w:t>Terms of Reference</w:t>
      </w:r>
    </w:p>
    <w:p w14:paraId="5EC573E5" w14:textId="77777777" w:rsidR="00BC4042" w:rsidRDefault="00BC4042">
      <w:pPr>
        <w:jc w:val="center"/>
        <w:rPr>
          <w:b/>
          <w:sz w:val="28"/>
          <w:szCs w:val="28"/>
        </w:rPr>
      </w:pPr>
    </w:p>
    <w:tbl>
      <w:tblPr>
        <w:tblpPr w:leftFromText="141" w:rightFromText="141" w:vertAnchor="text" w:horzAnchor="margin" w:tblpY="-38"/>
        <w:tblW w:w="0" w:type="auto"/>
        <w:tblBorders>
          <w:top w:val="double" w:sz="6" w:space="0" w:color="1F497D"/>
          <w:left w:val="double" w:sz="6" w:space="0" w:color="1F497D"/>
          <w:bottom w:val="double" w:sz="6" w:space="0" w:color="1F497D"/>
          <w:right w:val="double" w:sz="6" w:space="0" w:color="1F497D"/>
          <w:insideH w:val="single" w:sz="4" w:space="0" w:color="1F497D"/>
          <w:insideV w:val="single" w:sz="4" w:space="0" w:color="1F497D"/>
        </w:tblBorders>
        <w:shd w:val="clear" w:color="auto" w:fill="DBE5F1"/>
        <w:tblLook w:val="04A0" w:firstRow="1" w:lastRow="0" w:firstColumn="1" w:lastColumn="0" w:noHBand="0" w:noVBand="1"/>
      </w:tblPr>
      <w:tblGrid>
        <w:gridCol w:w="8983"/>
      </w:tblGrid>
      <w:tr w:rsidR="00BC4042" w:rsidRPr="00A03754" w14:paraId="6293CD51" w14:textId="77777777" w:rsidTr="00BC4042">
        <w:tc>
          <w:tcPr>
            <w:tcW w:w="8983" w:type="dxa"/>
            <w:shd w:val="clear" w:color="auto" w:fill="DBE5F1"/>
          </w:tcPr>
          <w:p w14:paraId="5F9BEE23" w14:textId="192E0F2F" w:rsidR="00BC4042" w:rsidRDefault="00BC4042" w:rsidP="00BC4042">
            <w:pPr>
              <w:rPr>
                <w:b/>
                <w:bCs/>
                <w:szCs w:val="24"/>
              </w:rPr>
            </w:pPr>
            <w:r w:rsidRPr="00FC47EF">
              <w:rPr>
                <w:b/>
                <w:bCs/>
                <w:szCs w:val="24"/>
                <w:u w:val="single"/>
              </w:rPr>
              <w:t>Activity</w:t>
            </w:r>
            <w:r w:rsidRPr="006C055C">
              <w:rPr>
                <w:b/>
                <w:bCs/>
                <w:szCs w:val="24"/>
              </w:rPr>
              <w:t>: Carrying out of a Desk Study on</w:t>
            </w:r>
            <w:r w:rsidR="002B0BC1">
              <w:rPr>
                <w:b/>
                <w:bCs/>
                <w:szCs w:val="24"/>
              </w:rPr>
              <w:t xml:space="preserve"> </w:t>
            </w:r>
            <w:r w:rsidRPr="006C055C">
              <w:rPr>
                <w:b/>
              </w:rPr>
              <w:t xml:space="preserve">The Voluntary </w:t>
            </w:r>
            <w:proofErr w:type="gramStart"/>
            <w:r w:rsidRPr="006C055C">
              <w:rPr>
                <w:b/>
              </w:rPr>
              <w:t>Fair</w:t>
            </w:r>
            <w:r w:rsidR="00664EA7">
              <w:rPr>
                <w:b/>
              </w:rPr>
              <w:t xml:space="preserve"> </w:t>
            </w:r>
            <w:r w:rsidRPr="006C055C">
              <w:rPr>
                <w:b/>
              </w:rPr>
              <w:t>Trade</w:t>
            </w:r>
            <w:proofErr w:type="gramEnd"/>
            <w:r w:rsidRPr="006C055C">
              <w:rPr>
                <w:b/>
              </w:rPr>
              <w:t xml:space="preserve"> market in the EU, Colombia, Ecuador and Peru</w:t>
            </w:r>
          </w:p>
          <w:p w14:paraId="7C0B8FAD" w14:textId="77777777" w:rsidR="00BC4042" w:rsidRPr="00FC47EF" w:rsidRDefault="00BC4042" w:rsidP="00BC4042">
            <w:pPr>
              <w:rPr>
                <w:b/>
                <w:bCs/>
                <w:szCs w:val="24"/>
              </w:rPr>
            </w:pPr>
          </w:p>
        </w:tc>
      </w:tr>
      <w:tr w:rsidR="00BC4042" w:rsidRPr="00A03754" w14:paraId="4691DB0E" w14:textId="77777777" w:rsidTr="00BC4042">
        <w:tc>
          <w:tcPr>
            <w:tcW w:w="8983" w:type="dxa"/>
            <w:shd w:val="clear" w:color="auto" w:fill="DBE5F1"/>
          </w:tcPr>
          <w:p w14:paraId="224B874A" w14:textId="765A5524" w:rsidR="006C055C" w:rsidRPr="006C055C" w:rsidRDefault="00BC4042" w:rsidP="006C055C">
            <w:pPr>
              <w:jc w:val="both"/>
              <w:rPr>
                <w:b/>
                <w:bCs/>
                <w:szCs w:val="24"/>
              </w:rPr>
            </w:pPr>
            <w:r w:rsidRPr="006C055C">
              <w:rPr>
                <w:b/>
                <w:bCs/>
                <w:szCs w:val="24"/>
                <w:u w:val="single"/>
              </w:rPr>
              <w:t>Expert(s)</w:t>
            </w:r>
            <w:r w:rsidRPr="006C055C">
              <w:rPr>
                <w:b/>
                <w:bCs/>
                <w:szCs w:val="24"/>
              </w:rPr>
              <w:t xml:space="preserve">: 1 Senior Expert </w:t>
            </w:r>
          </w:p>
        </w:tc>
      </w:tr>
      <w:tr w:rsidR="00BC4042" w:rsidRPr="00A03754" w14:paraId="4B3215CF" w14:textId="77777777" w:rsidTr="00BC4042">
        <w:tc>
          <w:tcPr>
            <w:tcW w:w="8983" w:type="dxa"/>
            <w:shd w:val="clear" w:color="auto" w:fill="DBE5F1"/>
          </w:tcPr>
          <w:p w14:paraId="648D7243" w14:textId="57F88710" w:rsidR="00BC4042" w:rsidRDefault="00BC4042" w:rsidP="00BC4042">
            <w:pPr>
              <w:rPr>
                <w:b/>
                <w:bCs/>
                <w:szCs w:val="24"/>
              </w:rPr>
            </w:pPr>
            <w:r>
              <w:rPr>
                <w:b/>
                <w:bCs/>
                <w:szCs w:val="24"/>
                <w:u w:val="single"/>
              </w:rPr>
              <w:t>Date</w:t>
            </w:r>
            <w:r w:rsidRPr="00FC47EF">
              <w:rPr>
                <w:b/>
                <w:bCs/>
                <w:szCs w:val="24"/>
                <w:u w:val="single"/>
              </w:rPr>
              <w:t xml:space="preserve"> of Assignment</w:t>
            </w:r>
            <w:r>
              <w:rPr>
                <w:b/>
                <w:bCs/>
                <w:szCs w:val="24"/>
              </w:rPr>
              <w:t xml:space="preserve">: </w:t>
            </w:r>
            <w:r w:rsidR="006C055C">
              <w:rPr>
                <w:b/>
                <w:bCs/>
                <w:szCs w:val="24"/>
              </w:rPr>
              <w:t>As soon as possible – for a duration of approx. 2 months part-time</w:t>
            </w:r>
          </w:p>
          <w:p w14:paraId="21656DCD" w14:textId="77777777" w:rsidR="00BC4042" w:rsidRPr="00F109CE" w:rsidRDefault="00BC4042" w:rsidP="00BC4042">
            <w:pPr>
              <w:rPr>
                <w:color w:val="FF0000"/>
                <w:szCs w:val="24"/>
                <w:vertAlign w:val="superscript"/>
              </w:rPr>
            </w:pPr>
          </w:p>
        </w:tc>
      </w:tr>
      <w:tr w:rsidR="00BC4042" w:rsidRPr="00A03754" w14:paraId="4060A9F8" w14:textId="77777777" w:rsidTr="00BC4042">
        <w:tc>
          <w:tcPr>
            <w:tcW w:w="8983" w:type="dxa"/>
            <w:shd w:val="clear" w:color="auto" w:fill="DBE5F1"/>
          </w:tcPr>
          <w:p w14:paraId="5B7B72D9" w14:textId="77777777" w:rsidR="00BC4042" w:rsidRDefault="00BC4042" w:rsidP="00BC4042">
            <w:pPr>
              <w:rPr>
                <w:b/>
                <w:bCs/>
                <w:szCs w:val="24"/>
              </w:rPr>
            </w:pPr>
            <w:r w:rsidRPr="00126D00">
              <w:rPr>
                <w:b/>
                <w:bCs/>
                <w:szCs w:val="24"/>
                <w:u w:val="single"/>
              </w:rPr>
              <w:t>Place of Assignment</w:t>
            </w:r>
            <w:r w:rsidRPr="0027523A">
              <w:rPr>
                <w:b/>
                <w:bCs/>
                <w:szCs w:val="24"/>
              </w:rPr>
              <w:t>:</w:t>
            </w:r>
            <w:r>
              <w:rPr>
                <w:b/>
                <w:bCs/>
                <w:szCs w:val="24"/>
              </w:rPr>
              <w:t xml:space="preserve"> </w:t>
            </w:r>
            <w:r w:rsidRPr="006C055C">
              <w:rPr>
                <w:b/>
                <w:bCs/>
                <w:szCs w:val="24"/>
              </w:rPr>
              <w:t>Home-Based</w:t>
            </w:r>
            <w:r>
              <w:rPr>
                <w:b/>
                <w:bCs/>
                <w:szCs w:val="24"/>
              </w:rPr>
              <w:t xml:space="preserve"> </w:t>
            </w:r>
          </w:p>
          <w:p w14:paraId="29F1E811" w14:textId="77777777" w:rsidR="00BC4042" w:rsidRPr="00F109CE" w:rsidRDefault="00BC4042" w:rsidP="00BC4042">
            <w:pPr>
              <w:rPr>
                <w:szCs w:val="24"/>
              </w:rPr>
            </w:pPr>
          </w:p>
        </w:tc>
      </w:tr>
    </w:tbl>
    <w:p w14:paraId="4854C3E1" w14:textId="77777777" w:rsidR="005113BD" w:rsidRDefault="005113BD">
      <w:pPr>
        <w:jc w:val="center"/>
        <w:rPr>
          <w:b/>
          <w:sz w:val="28"/>
          <w:szCs w:val="28"/>
        </w:rPr>
      </w:pPr>
    </w:p>
    <w:p w14:paraId="52E065BC" w14:textId="06B6161B" w:rsidR="00A36D8A" w:rsidRDefault="00A36D8A" w:rsidP="00A36D8A">
      <w:pPr>
        <w:pStyle w:val="Paragraphedeliste"/>
        <w:numPr>
          <w:ilvl w:val="0"/>
          <w:numId w:val="4"/>
        </w:numPr>
        <w:spacing w:after="0"/>
        <w:rPr>
          <w:rFonts w:asciiTheme="majorHAnsi" w:eastAsia="SimSun" w:hAnsiTheme="majorHAnsi" w:cstheme="majorHAnsi"/>
          <w:b/>
          <w:iCs/>
          <w:color w:val="1F497D"/>
          <w:szCs w:val="24"/>
          <w:lang w:eastAsia="nl-BE"/>
        </w:rPr>
      </w:pPr>
      <w:r w:rsidRPr="006C055C">
        <w:rPr>
          <w:rFonts w:asciiTheme="majorHAnsi" w:eastAsia="SimSun" w:hAnsiTheme="majorHAnsi" w:cstheme="majorHAnsi"/>
          <w:b/>
          <w:iCs/>
          <w:color w:val="1F497D"/>
          <w:szCs w:val="24"/>
          <w:lang w:eastAsia="nl-BE"/>
        </w:rPr>
        <w:t>Introduction to the Project</w:t>
      </w:r>
    </w:p>
    <w:p w14:paraId="127ACE12" w14:textId="77777777" w:rsidR="006C055C" w:rsidRPr="006C055C" w:rsidRDefault="006C055C" w:rsidP="006C055C">
      <w:pPr>
        <w:pStyle w:val="Paragraphedeliste"/>
        <w:spacing w:after="0"/>
        <w:rPr>
          <w:rFonts w:asciiTheme="majorHAnsi" w:eastAsia="SimSun" w:hAnsiTheme="majorHAnsi" w:cstheme="majorHAnsi"/>
          <w:b/>
          <w:iCs/>
          <w:color w:val="1F497D"/>
          <w:szCs w:val="24"/>
          <w:lang w:eastAsia="nl-BE"/>
        </w:rPr>
      </w:pPr>
    </w:p>
    <w:p w14:paraId="05ABD20A" w14:textId="77777777" w:rsidR="00A36D8A" w:rsidRPr="005113BD" w:rsidRDefault="00A36D8A" w:rsidP="00A36D8A">
      <w:pPr>
        <w:pStyle w:val="BULLET"/>
        <w:numPr>
          <w:ilvl w:val="0"/>
          <w:numId w:val="0"/>
        </w:numPr>
        <w:autoSpaceDN w:val="0"/>
        <w:rPr>
          <w:rFonts w:asciiTheme="majorHAnsi" w:hAnsiTheme="majorHAnsi" w:cstheme="majorHAnsi"/>
          <w:sz w:val="22"/>
          <w:lang w:val="en-GB" w:eastAsia="fr-FR"/>
        </w:rPr>
      </w:pPr>
      <w:r w:rsidRPr="005113BD">
        <w:rPr>
          <w:rFonts w:asciiTheme="majorHAnsi" w:hAnsiTheme="majorHAnsi" w:cstheme="majorHAnsi"/>
          <w:sz w:val="22"/>
          <w:lang w:val="en-GB" w:eastAsia="fr-FR"/>
        </w:rPr>
        <w:t xml:space="preserve">The </w:t>
      </w:r>
      <w:r w:rsidRPr="005113BD">
        <w:rPr>
          <w:rFonts w:asciiTheme="majorHAnsi" w:hAnsiTheme="majorHAnsi" w:cstheme="majorHAnsi"/>
          <w:i/>
          <w:sz w:val="22"/>
          <w:lang w:val="en-GB" w:eastAsia="fr-FR"/>
        </w:rPr>
        <w:t>Overall Objective</w:t>
      </w:r>
      <w:r w:rsidRPr="005113BD">
        <w:rPr>
          <w:rFonts w:asciiTheme="majorHAnsi" w:hAnsiTheme="majorHAnsi" w:cstheme="majorHAnsi"/>
          <w:sz w:val="22"/>
          <w:lang w:val="en-GB" w:eastAsia="fr-FR"/>
        </w:rPr>
        <w:t xml:space="preserve"> of this project is to </w:t>
      </w:r>
      <w:r w:rsidRPr="005113BD">
        <w:rPr>
          <w:rFonts w:asciiTheme="majorHAnsi" w:hAnsiTheme="majorHAnsi" w:cstheme="majorHAnsi"/>
          <w:b/>
          <w:sz w:val="22"/>
          <w:lang w:val="en-GB" w:eastAsia="fr-FR"/>
        </w:rPr>
        <w:t xml:space="preserve">support the implementation of TSD chapters of EU Trade Agreements through consistent, </w:t>
      </w:r>
      <w:proofErr w:type="gramStart"/>
      <w:r w:rsidRPr="005113BD">
        <w:rPr>
          <w:rFonts w:asciiTheme="majorHAnsi" w:hAnsiTheme="majorHAnsi" w:cstheme="majorHAnsi"/>
          <w:b/>
          <w:sz w:val="22"/>
          <w:lang w:val="en-GB" w:eastAsia="fr-FR"/>
        </w:rPr>
        <w:t>visible</w:t>
      </w:r>
      <w:proofErr w:type="gramEnd"/>
      <w:r w:rsidRPr="005113BD">
        <w:rPr>
          <w:rFonts w:asciiTheme="majorHAnsi" w:hAnsiTheme="majorHAnsi" w:cstheme="majorHAnsi"/>
          <w:b/>
          <w:sz w:val="22"/>
          <w:lang w:val="en-GB" w:eastAsia="fr-FR"/>
        </w:rPr>
        <w:t xml:space="preserve"> and increased participation of civil society</w:t>
      </w:r>
      <w:r w:rsidRPr="005113BD">
        <w:rPr>
          <w:rFonts w:asciiTheme="majorHAnsi" w:hAnsiTheme="majorHAnsi" w:cstheme="majorHAnsi"/>
          <w:sz w:val="22"/>
          <w:lang w:val="en-GB" w:eastAsia="fr-FR"/>
        </w:rPr>
        <w:t xml:space="preserve">. </w:t>
      </w:r>
    </w:p>
    <w:p w14:paraId="2BA57CF6" w14:textId="77777777" w:rsidR="00A36D8A" w:rsidRPr="005113BD" w:rsidRDefault="00A36D8A" w:rsidP="00A36D8A">
      <w:pPr>
        <w:pStyle w:val="BULLET"/>
        <w:numPr>
          <w:ilvl w:val="0"/>
          <w:numId w:val="0"/>
        </w:numPr>
        <w:autoSpaceDN w:val="0"/>
        <w:rPr>
          <w:rFonts w:asciiTheme="majorHAnsi" w:hAnsiTheme="majorHAnsi" w:cstheme="majorHAnsi"/>
          <w:sz w:val="22"/>
          <w:lang w:eastAsia="fr-FR"/>
        </w:rPr>
      </w:pPr>
      <w:r w:rsidRPr="005113BD">
        <w:rPr>
          <w:rFonts w:asciiTheme="majorHAnsi" w:hAnsiTheme="majorHAnsi" w:cstheme="majorHAnsi"/>
          <w:sz w:val="22"/>
          <w:lang w:eastAsia="fr-FR"/>
        </w:rPr>
        <w:t xml:space="preserve">For each trade agreement </w:t>
      </w:r>
      <w:r w:rsidRPr="005113BD">
        <w:rPr>
          <w:rFonts w:asciiTheme="majorHAnsi" w:hAnsiTheme="majorHAnsi" w:cstheme="majorHAnsi"/>
          <w:b/>
          <w:sz w:val="22"/>
          <w:lang w:eastAsia="fr-FR"/>
        </w:rPr>
        <w:t>two DAGs are established</w:t>
      </w:r>
      <w:r w:rsidRPr="005113BD">
        <w:rPr>
          <w:rFonts w:asciiTheme="majorHAnsi" w:hAnsiTheme="majorHAnsi" w:cstheme="majorHAnsi"/>
          <w:sz w:val="22"/>
          <w:lang w:eastAsia="fr-FR"/>
        </w:rPr>
        <w:t xml:space="preserve">, one representing EU civil society and one representing the civil society of the trade partner. They meet separately several times a year in each of their domestic configurations and jointly once a year, alternatively in Brussels and in the partner country or countries, as a Joint Civil Society Forum or as a Joint Consultative Committee. With an overall goal of </w:t>
      </w:r>
      <w:r w:rsidRPr="005113BD">
        <w:rPr>
          <w:rFonts w:asciiTheme="majorHAnsi" w:hAnsiTheme="majorHAnsi" w:cstheme="majorHAnsi"/>
          <w:b/>
          <w:sz w:val="22"/>
          <w:lang w:eastAsia="fr-FR"/>
        </w:rPr>
        <w:t xml:space="preserve">supporting existing DAGs or establishing new ones and maintaining dynamic, </w:t>
      </w:r>
      <w:proofErr w:type="gramStart"/>
      <w:r w:rsidRPr="005113BD">
        <w:rPr>
          <w:rFonts w:asciiTheme="majorHAnsi" w:hAnsiTheme="majorHAnsi" w:cstheme="majorHAnsi"/>
          <w:b/>
          <w:sz w:val="22"/>
          <w:lang w:eastAsia="fr-FR"/>
        </w:rPr>
        <w:t>motivated</w:t>
      </w:r>
      <w:proofErr w:type="gramEnd"/>
      <w:r w:rsidRPr="005113BD">
        <w:rPr>
          <w:rFonts w:asciiTheme="majorHAnsi" w:hAnsiTheme="majorHAnsi" w:cstheme="majorHAnsi"/>
          <w:b/>
          <w:sz w:val="22"/>
          <w:lang w:eastAsia="fr-FR"/>
        </w:rPr>
        <w:t xml:space="preserve"> and self-sustaining DAGs across EU trade agreements</w:t>
      </w:r>
      <w:r w:rsidRPr="005113BD">
        <w:rPr>
          <w:rFonts w:asciiTheme="majorHAnsi" w:hAnsiTheme="majorHAnsi" w:cstheme="majorHAnsi"/>
          <w:sz w:val="22"/>
          <w:lang w:eastAsia="fr-FR"/>
        </w:rPr>
        <w:t xml:space="preserve">, the contractor, in agreement with the Contracting Authority and in cooperation with the REX secretariat, will </w:t>
      </w:r>
      <w:r w:rsidRPr="005113BD">
        <w:rPr>
          <w:rFonts w:asciiTheme="majorHAnsi" w:hAnsiTheme="majorHAnsi" w:cstheme="majorHAnsi"/>
          <w:b/>
          <w:sz w:val="22"/>
          <w:lang w:eastAsia="fr-FR"/>
        </w:rPr>
        <w:t>ensure the logistical and secretarial aspects of the DAG meetings under each trade agreement</w:t>
      </w:r>
      <w:r w:rsidRPr="005113BD">
        <w:rPr>
          <w:rFonts w:asciiTheme="majorHAnsi" w:hAnsiTheme="majorHAnsi" w:cstheme="majorHAnsi"/>
          <w:sz w:val="22"/>
          <w:lang w:eastAsia="fr-FR"/>
        </w:rPr>
        <w:t xml:space="preserve">. The contractor will also provide capacity building in the form of </w:t>
      </w:r>
      <w:r w:rsidRPr="005113BD">
        <w:rPr>
          <w:rFonts w:asciiTheme="majorHAnsi" w:hAnsiTheme="majorHAnsi" w:cstheme="majorHAnsi"/>
          <w:b/>
          <w:sz w:val="22"/>
          <w:lang w:eastAsia="fr-FR"/>
        </w:rPr>
        <w:t>benchmarking and subsequent implementation of best practices and desk studies</w:t>
      </w:r>
      <w:r w:rsidRPr="005113BD">
        <w:rPr>
          <w:rFonts w:asciiTheme="majorHAnsi" w:hAnsiTheme="majorHAnsi" w:cstheme="majorHAnsi"/>
          <w:sz w:val="22"/>
          <w:lang w:eastAsia="fr-FR"/>
        </w:rPr>
        <w:t>. Finally, the contractor will provide support in the field of communication.</w:t>
      </w:r>
    </w:p>
    <w:p w14:paraId="18E083A8" w14:textId="77777777" w:rsidR="00A36D8A" w:rsidRPr="005113BD" w:rsidRDefault="00A36D8A" w:rsidP="00A36D8A">
      <w:pPr>
        <w:jc w:val="both"/>
        <w:rPr>
          <w:rFonts w:asciiTheme="majorHAnsi" w:hAnsiTheme="majorHAnsi" w:cstheme="majorHAnsi"/>
        </w:rPr>
      </w:pPr>
    </w:p>
    <w:p w14:paraId="7827849E" w14:textId="68EE8513" w:rsidR="00A36D8A" w:rsidRPr="005113BD" w:rsidRDefault="00A36D8A" w:rsidP="00A36D8A">
      <w:pPr>
        <w:jc w:val="both"/>
        <w:rPr>
          <w:rFonts w:asciiTheme="majorHAnsi" w:hAnsiTheme="majorHAnsi" w:cstheme="majorHAnsi"/>
        </w:rPr>
      </w:pPr>
      <w:r w:rsidRPr="005113BD">
        <w:rPr>
          <w:rFonts w:asciiTheme="majorHAnsi" w:hAnsiTheme="majorHAnsi" w:cstheme="majorHAnsi"/>
        </w:rPr>
        <w:t xml:space="preserve">The Project is structured around five </w:t>
      </w:r>
      <w:r w:rsidRPr="005113BD">
        <w:rPr>
          <w:rFonts w:asciiTheme="majorHAnsi" w:hAnsiTheme="majorHAnsi" w:cstheme="majorHAnsi"/>
          <w:i/>
        </w:rPr>
        <w:t>Tasks</w:t>
      </w:r>
      <w:r w:rsidRPr="005113BD">
        <w:rPr>
          <w:rFonts w:asciiTheme="majorHAnsi" w:hAnsiTheme="majorHAnsi" w:cstheme="majorHAnsi"/>
        </w:rPr>
        <w:t>:</w:t>
      </w:r>
    </w:p>
    <w:p w14:paraId="1F179145" w14:textId="109B44EA" w:rsidR="00A36D8A" w:rsidRPr="005113BD" w:rsidRDefault="00A36D8A" w:rsidP="00A36D8A">
      <w:pPr>
        <w:pStyle w:val="Paragraphedeliste"/>
        <w:numPr>
          <w:ilvl w:val="0"/>
          <w:numId w:val="6"/>
        </w:numPr>
        <w:spacing w:before="120" w:after="120" w:line="276" w:lineRule="auto"/>
        <w:ind w:left="714" w:hanging="357"/>
        <w:jc w:val="both"/>
        <w:rPr>
          <w:rFonts w:asciiTheme="majorHAnsi" w:hAnsiTheme="majorHAnsi" w:cstheme="majorHAnsi"/>
          <w:sz w:val="22"/>
          <w:lang w:val="en-GB"/>
        </w:rPr>
      </w:pPr>
      <w:r w:rsidRPr="005113BD">
        <w:rPr>
          <w:rFonts w:asciiTheme="majorHAnsi" w:hAnsiTheme="majorHAnsi" w:cstheme="majorHAnsi"/>
          <w:b/>
          <w:sz w:val="22"/>
          <w:lang w:val="en-GB"/>
        </w:rPr>
        <w:t>Task 1</w:t>
      </w:r>
      <w:r w:rsidRPr="005113BD">
        <w:rPr>
          <w:rFonts w:asciiTheme="majorHAnsi" w:hAnsiTheme="majorHAnsi" w:cstheme="majorHAnsi"/>
          <w:sz w:val="22"/>
          <w:lang w:val="en-GB"/>
        </w:rPr>
        <w:t xml:space="preserve">: Logistical management of the </w:t>
      </w:r>
      <w:r w:rsidR="004F48BB">
        <w:rPr>
          <w:rFonts w:asciiTheme="majorHAnsi" w:hAnsiTheme="majorHAnsi" w:cstheme="majorHAnsi"/>
          <w:sz w:val="22"/>
          <w:lang w:val="en-GB"/>
        </w:rPr>
        <w:t xml:space="preserve">DAG </w:t>
      </w:r>
      <w:proofErr w:type="gramStart"/>
      <w:r w:rsidRPr="005113BD">
        <w:rPr>
          <w:rFonts w:asciiTheme="majorHAnsi" w:hAnsiTheme="majorHAnsi" w:cstheme="majorHAnsi"/>
          <w:sz w:val="22"/>
          <w:lang w:val="en-GB"/>
        </w:rPr>
        <w:t>meetings;</w:t>
      </w:r>
      <w:proofErr w:type="gramEnd"/>
    </w:p>
    <w:p w14:paraId="662CBEE2" w14:textId="77777777" w:rsidR="00A36D8A" w:rsidRPr="005113BD" w:rsidRDefault="00A36D8A" w:rsidP="00A36D8A">
      <w:pPr>
        <w:pStyle w:val="Paragraphedeliste"/>
        <w:numPr>
          <w:ilvl w:val="0"/>
          <w:numId w:val="6"/>
        </w:numPr>
        <w:spacing w:before="120" w:after="120" w:line="276" w:lineRule="auto"/>
        <w:ind w:left="714" w:hanging="357"/>
        <w:jc w:val="both"/>
        <w:rPr>
          <w:rFonts w:asciiTheme="majorHAnsi" w:hAnsiTheme="majorHAnsi" w:cstheme="majorHAnsi"/>
          <w:sz w:val="22"/>
          <w:lang w:val="en-GB"/>
        </w:rPr>
      </w:pPr>
      <w:r w:rsidRPr="005113BD">
        <w:rPr>
          <w:rFonts w:asciiTheme="majorHAnsi" w:hAnsiTheme="majorHAnsi" w:cstheme="majorHAnsi"/>
          <w:b/>
          <w:sz w:val="22"/>
          <w:lang w:val="en-GB"/>
        </w:rPr>
        <w:t>Task 2</w:t>
      </w:r>
      <w:r w:rsidRPr="005113BD">
        <w:rPr>
          <w:rFonts w:asciiTheme="majorHAnsi" w:hAnsiTheme="majorHAnsi" w:cstheme="majorHAnsi"/>
          <w:sz w:val="22"/>
          <w:lang w:val="en-GB"/>
        </w:rPr>
        <w:t xml:space="preserve">: Secretarial </w:t>
      </w:r>
      <w:proofErr w:type="gramStart"/>
      <w:r w:rsidRPr="005113BD">
        <w:rPr>
          <w:rFonts w:asciiTheme="majorHAnsi" w:hAnsiTheme="majorHAnsi" w:cstheme="majorHAnsi"/>
          <w:sz w:val="22"/>
          <w:lang w:val="en-GB"/>
        </w:rPr>
        <w:t>support;</w:t>
      </w:r>
      <w:proofErr w:type="gramEnd"/>
    </w:p>
    <w:p w14:paraId="5DA3D47E" w14:textId="77777777" w:rsidR="00A36D8A" w:rsidRPr="005113BD" w:rsidRDefault="00A36D8A" w:rsidP="00A36D8A">
      <w:pPr>
        <w:pStyle w:val="Paragraphedeliste"/>
        <w:numPr>
          <w:ilvl w:val="0"/>
          <w:numId w:val="6"/>
        </w:numPr>
        <w:spacing w:before="120" w:after="120" w:line="276" w:lineRule="auto"/>
        <w:ind w:left="714" w:hanging="357"/>
        <w:jc w:val="both"/>
        <w:rPr>
          <w:rFonts w:asciiTheme="majorHAnsi" w:hAnsiTheme="majorHAnsi" w:cstheme="majorHAnsi"/>
          <w:sz w:val="22"/>
          <w:lang w:val="en-GB"/>
        </w:rPr>
      </w:pPr>
      <w:r w:rsidRPr="005113BD">
        <w:rPr>
          <w:rFonts w:asciiTheme="majorHAnsi" w:hAnsiTheme="majorHAnsi" w:cstheme="majorHAnsi"/>
          <w:b/>
          <w:sz w:val="22"/>
          <w:lang w:val="en-GB"/>
        </w:rPr>
        <w:t>Task 3</w:t>
      </w:r>
      <w:r w:rsidRPr="005113BD">
        <w:rPr>
          <w:rFonts w:asciiTheme="majorHAnsi" w:hAnsiTheme="majorHAnsi" w:cstheme="majorHAnsi"/>
          <w:sz w:val="22"/>
          <w:lang w:val="en-GB"/>
        </w:rPr>
        <w:t xml:space="preserve">: Organisation of workshops during joint </w:t>
      </w:r>
      <w:proofErr w:type="gramStart"/>
      <w:r w:rsidRPr="005113BD">
        <w:rPr>
          <w:rFonts w:asciiTheme="majorHAnsi" w:hAnsiTheme="majorHAnsi" w:cstheme="majorHAnsi"/>
          <w:sz w:val="22"/>
          <w:lang w:val="en-GB"/>
        </w:rPr>
        <w:t>meetings;</w:t>
      </w:r>
      <w:proofErr w:type="gramEnd"/>
    </w:p>
    <w:p w14:paraId="711BD14B" w14:textId="77777777" w:rsidR="00A36D8A" w:rsidRPr="005113BD" w:rsidRDefault="00A36D8A" w:rsidP="00A36D8A">
      <w:pPr>
        <w:pStyle w:val="Paragraphedeliste"/>
        <w:numPr>
          <w:ilvl w:val="0"/>
          <w:numId w:val="6"/>
        </w:numPr>
        <w:spacing w:before="120" w:after="120" w:line="276" w:lineRule="auto"/>
        <w:ind w:left="714" w:hanging="357"/>
        <w:jc w:val="both"/>
        <w:rPr>
          <w:rFonts w:asciiTheme="majorHAnsi" w:hAnsiTheme="majorHAnsi" w:cstheme="majorHAnsi"/>
          <w:sz w:val="22"/>
          <w:lang w:val="en-GB"/>
        </w:rPr>
      </w:pPr>
      <w:r w:rsidRPr="005113BD">
        <w:rPr>
          <w:rFonts w:asciiTheme="majorHAnsi" w:hAnsiTheme="majorHAnsi" w:cstheme="majorHAnsi"/>
          <w:b/>
          <w:sz w:val="22"/>
          <w:lang w:val="en-GB"/>
        </w:rPr>
        <w:t>Task 4</w:t>
      </w:r>
      <w:r w:rsidRPr="005113BD">
        <w:rPr>
          <w:rFonts w:asciiTheme="majorHAnsi" w:hAnsiTheme="majorHAnsi" w:cstheme="majorHAnsi"/>
          <w:sz w:val="22"/>
          <w:lang w:val="en-GB"/>
        </w:rPr>
        <w:t xml:space="preserve">: </w:t>
      </w:r>
      <w:r w:rsidRPr="004F48BB">
        <w:rPr>
          <w:rFonts w:asciiTheme="majorHAnsi" w:hAnsiTheme="majorHAnsi" w:cstheme="majorHAnsi"/>
          <w:sz w:val="22"/>
          <w:lang w:val="en-GB"/>
        </w:rPr>
        <w:t>Strengthening the EU DAGs; and</w:t>
      </w:r>
    </w:p>
    <w:p w14:paraId="53391D2F" w14:textId="77777777" w:rsidR="00A36D8A" w:rsidRPr="005113BD" w:rsidRDefault="00A36D8A" w:rsidP="00A36D8A">
      <w:pPr>
        <w:pStyle w:val="Paragraphedeliste"/>
        <w:numPr>
          <w:ilvl w:val="0"/>
          <w:numId w:val="6"/>
        </w:numPr>
        <w:spacing w:before="120" w:after="0" w:line="276" w:lineRule="auto"/>
        <w:ind w:left="714" w:hanging="357"/>
        <w:jc w:val="both"/>
        <w:rPr>
          <w:rFonts w:asciiTheme="majorHAnsi" w:hAnsiTheme="majorHAnsi" w:cstheme="majorHAnsi"/>
          <w:sz w:val="22"/>
          <w:lang w:val="en-GB"/>
        </w:rPr>
      </w:pPr>
      <w:r w:rsidRPr="005113BD">
        <w:rPr>
          <w:rFonts w:asciiTheme="majorHAnsi" w:hAnsiTheme="majorHAnsi" w:cstheme="majorHAnsi"/>
          <w:b/>
          <w:sz w:val="22"/>
          <w:lang w:val="en-GB"/>
        </w:rPr>
        <w:lastRenderedPageBreak/>
        <w:t>Task 5</w:t>
      </w:r>
      <w:r w:rsidRPr="005113BD">
        <w:rPr>
          <w:rFonts w:asciiTheme="majorHAnsi" w:hAnsiTheme="majorHAnsi" w:cstheme="majorHAnsi"/>
          <w:sz w:val="22"/>
          <w:lang w:val="en-GB"/>
        </w:rPr>
        <w:t>: Communication.</w:t>
      </w:r>
    </w:p>
    <w:p w14:paraId="5121867D" w14:textId="77777777" w:rsidR="00A36D8A" w:rsidRPr="005113BD" w:rsidRDefault="00A36D8A" w:rsidP="00A36D8A">
      <w:pPr>
        <w:pStyle w:val="Paragraphedeliste"/>
        <w:spacing w:after="0"/>
        <w:rPr>
          <w:rFonts w:asciiTheme="majorHAnsi" w:eastAsia="SimSun" w:hAnsiTheme="majorHAnsi" w:cstheme="majorHAnsi"/>
          <w:b/>
          <w:i/>
          <w:color w:val="1F497D"/>
          <w:sz w:val="22"/>
          <w:lang w:eastAsia="nl-BE"/>
        </w:rPr>
      </w:pPr>
    </w:p>
    <w:p w14:paraId="0E315144" w14:textId="77777777" w:rsidR="00A36D8A" w:rsidRPr="005113BD" w:rsidRDefault="00A36D8A" w:rsidP="00A36D8A">
      <w:pPr>
        <w:pStyle w:val="Paragraphedeliste"/>
        <w:numPr>
          <w:ilvl w:val="0"/>
          <w:numId w:val="3"/>
        </w:numPr>
        <w:spacing w:after="0"/>
        <w:rPr>
          <w:rFonts w:asciiTheme="majorHAnsi" w:eastAsia="SimSun" w:hAnsiTheme="majorHAnsi" w:cstheme="majorHAnsi"/>
          <w:b/>
          <w:i/>
          <w:color w:val="1F497D"/>
          <w:sz w:val="22"/>
          <w:lang w:eastAsia="nl-BE"/>
        </w:rPr>
      </w:pPr>
      <w:r w:rsidRPr="005113BD">
        <w:rPr>
          <w:rFonts w:asciiTheme="majorHAnsi" w:eastAsia="SimSun" w:hAnsiTheme="majorHAnsi" w:cstheme="majorHAnsi"/>
          <w:b/>
          <w:i/>
          <w:color w:val="1F497D"/>
          <w:sz w:val="22"/>
          <w:lang w:eastAsia="nl-BE"/>
        </w:rPr>
        <w:t>Specific Activity background and outline</w:t>
      </w:r>
    </w:p>
    <w:p w14:paraId="38307D1F" w14:textId="710BAC52" w:rsidR="004F48BB" w:rsidRPr="004F48BB" w:rsidRDefault="00A36D8A" w:rsidP="004F48BB">
      <w:pPr>
        <w:spacing w:before="120" w:after="120"/>
        <w:jc w:val="both"/>
        <w:rPr>
          <w:rFonts w:asciiTheme="majorHAnsi" w:hAnsiTheme="majorHAnsi" w:cstheme="majorHAnsi"/>
          <w:b/>
          <w:bCs/>
        </w:rPr>
      </w:pPr>
      <w:r w:rsidRPr="004F48BB">
        <w:rPr>
          <w:rFonts w:asciiTheme="majorHAnsi" w:hAnsiTheme="majorHAnsi" w:cstheme="majorHAnsi"/>
        </w:rPr>
        <w:t>T</w:t>
      </w:r>
      <w:r w:rsidR="004F48BB" w:rsidRPr="004F48BB">
        <w:rPr>
          <w:rFonts w:asciiTheme="majorHAnsi" w:hAnsiTheme="majorHAnsi" w:cstheme="majorHAnsi"/>
        </w:rPr>
        <w:t xml:space="preserve">his Desk Study </w:t>
      </w:r>
      <w:r w:rsidRPr="004F48BB">
        <w:rPr>
          <w:rFonts w:asciiTheme="majorHAnsi" w:hAnsiTheme="majorHAnsi" w:cstheme="majorHAnsi"/>
        </w:rPr>
        <w:t xml:space="preserve">is part of the </w:t>
      </w:r>
      <w:r w:rsidRPr="004F48BB">
        <w:rPr>
          <w:rFonts w:asciiTheme="majorHAnsi" w:hAnsiTheme="majorHAnsi" w:cstheme="majorHAnsi"/>
          <w:b/>
        </w:rPr>
        <w:t>Task 4</w:t>
      </w:r>
      <w:r w:rsidRPr="004F48BB">
        <w:rPr>
          <w:rFonts w:asciiTheme="majorHAnsi" w:hAnsiTheme="majorHAnsi" w:cstheme="majorHAnsi"/>
        </w:rPr>
        <w:t xml:space="preserve"> of the</w:t>
      </w:r>
      <w:r w:rsidR="004F48BB" w:rsidRPr="004F48BB">
        <w:rPr>
          <w:rFonts w:asciiTheme="majorHAnsi" w:hAnsiTheme="majorHAnsi" w:cstheme="majorHAnsi"/>
        </w:rPr>
        <w:t xml:space="preserve"> project</w:t>
      </w:r>
      <w:r w:rsidRPr="004F48BB">
        <w:rPr>
          <w:rFonts w:asciiTheme="majorHAnsi" w:hAnsiTheme="majorHAnsi" w:cstheme="majorHAnsi"/>
        </w:rPr>
        <w:t xml:space="preserve"> </w:t>
      </w:r>
      <w:proofErr w:type="spellStart"/>
      <w:r w:rsidRPr="004F48BB">
        <w:rPr>
          <w:rFonts w:asciiTheme="majorHAnsi" w:hAnsiTheme="majorHAnsi" w:cstheme="majorHAnsi"/>
        </w:rPr>
        <w:t>ToR</w:t>
      </w:r>
      <w:proofErr w:type="spellEnd"/>
      <w:r w:rsidRPr="004F48BB">
        <w:rPr>
          <w:rFonts w:asciiTheme="majorHAnsi" w:hAnsiTheme="majorHAnsi" w:cstheme="majorHAnsi"/>
        </w:rPr>
        <w:t xml:space="preserve"> and contributes to </w:t>
      </w:r>
      <w:r w:rsidRPr="004F48BB">
        <w:rPr>
          <w:rFonts w:asciiTheme="majorHAnsi" w:hAnsiTheme="majorHAnsi" w:cstheme="majorHAnsi"/>
          <w:b/>
        </w:rPr>
        <w:t>Result 3</w:t>
      </w:r>
      <w:r w:rsidR="004F48BB" w:rsidRPr="004F48BB">
        <w:rPr>
          <w:rFonts w:asciiTheme="majorHAnsi" w:hAnsiTheme="majorHAnsi" w:cstheme="majorHAnsi"/>
          <w:b/>
        </w:rPr>
        <w:t xml:space="preserve">: </w:t>
      </w:r>
      <w:r w:rsidR="004F48BB" w:rsidRPr="004F48BB">
        <w:rPr>
          <w:rFonts w:asciiTheme="majorHAnsi" w:hAnsiTheme="majorHAnsi" w:cstheme="majorHAnsi"/>
          <w:b/>
          <w:bCs/>
        </w:rPr>
        <w:t>Ensuring civil society groups are aware of, and act according to, their roles and responsibilities provided by the Trade Agreements.</w:t>
      </w:r>
    </w:p>
    <w:p w14:paraId="5357F3AD" w14:textId="170934C6" w:rsidR="00A36D8A" w:rsidRPr="005113BD" w:rsidRDefault="00A36D8A" w:rsidP="00A36D8A">
      <w:pPr>
        <w:spacing w:before="120" w:after="120"/>
        <w:jc w:val="both"/>
        <w:rPr>
          <w:rFonts w:asciiTheme="majorHAnsi" w:hAnsiTheme="majorHAnsi" w:cstheme="majorHAnsi"/>
        </w:rPr>
      </w:pPr>
      <w:r w:rsidRPr="005113BD">
        <w:rPr>
          <w:rFonts w:asciiTheme="majorHAnsi" w:hAnsiTheme="majorHAnsi" w:cstheme="majorHAnsi"/>
        </w:rPr>
        <w:t xml:space="preserve">The Project </w:t>
      </w:r>
      <w:r w:rsidR="004F48BB">
        <w:rPr>
          <w:rFonts w:asciiTheme="majorHAnsi" w:hAnsiTheme="majorHAnsi" w:cstheme="majorHAnsi"/>
        </w:rPr>
        <w:t xml:space="preserve">has </w:t>
      </w:r>
      <w:r w:rsidRPr="005113BD">
        <w:rPr>
          <w:rFonts w:asciiTheme="majorHAnsi" w:hAnsiTheme="majorHAnsi" w:cstheme="majorHAnsi"/>
        </w:rPr>
        <w:t xml:space="preserve">received a request to explore the possibility to develop, organise and implement a </w:t>
      </w:r>
      <w:r w:rsidRPr="005113BD">
        <w:rPr>
          <w:rFonts w:asciiTheme="majorHAnsi" w:hAnsiTheme="majorHAnsi" w:cstheme="majorHAnsi"/>
          <w:b/>
          <w:bCs/>
        </w:rPr>
        <w:t>Desk Study</w:t>
      </w:r>
      <w:r w:rsidRPr="005113BD">
        <w:rPr>
          <w:rFonts w:asciiTheme="majorHAnsi" w:hAnsiTheme="majorHAnsi" w:cstheme="majorHAnsi"/>
        </w:rPr>
        <w:t xml:space="preserve"> for the </w:t>
      </w:r>
      <w:r w:rsidRPr="005113BD">
        <w:rPr>
          <w:rFonts w:asciiTheme="majorHAnsi" w:hAnsiTheme="majorHAnsi" w:cstheme="majorHAnsi"/>
          <w:b/>
          <w:bCs/>
        </w:rPr>
        <w:t>EU-</w:t>
      </w:r>
      <w:r w:rsidR="004F48BB">
        <w:rPr>
          <w:rFonts w:asciiTheme="majorHAnsi" w:hAnsiTheme="majorHAnsi" w:cstheme="majorHAnsi"/>
          <w:b/>
          <w:bCs/>
        </w:rPr>
        <w:t>Col</w:t>
      </w:r>
      <w:r w:rsidR="002B0BC1">
        <w:rPr>
          <w:rFonts w:asciiTheme="majorHAnsi" w:hAnsiTheme="majorHAnsi" w:cstheme="majorHAnsi"/>
          <w:b/>
          <w:bCs/>
        </w:rPr>
        <w:t>o</w:t>
      </w:r>
      <w:r w:rsidR="004F48BB">
        <w:rPr>
          <w:rFonts w:asciiTheme="majorHAnsi" w:hAnsiTheme="majorHAnsi" w:cstheme="majorHAnsi"/>
          <w:b/>
          <w:bCs/>
        </w:rPr>
        <w:t>mbia/Peru/Ecuador</w:t>
      </w:r>
      <w:r w:rsidRPr="005113BD">
        <w:rPr>
          <w:rFonts w:asciiTheme="majorHAnsi" w:hAnsiTheme="majorHAnsi" w:cstheme="majorHAnsi"/>
          <w:b/>
          <w:bCs/>
        </w:rPr>
        <w:t xml:space="preserve"> DAG</w:t>
      </w:r>
      <w:r w:rsidRPr="005113BD">
        <w:rPr>
          <w:rFonts w:asciiTheme="majorHAnsi" w:hAnsiTheme="majorHAnsi" w:cstheme="majorHAnsi"/>
        </w:rPr>
        <w:t xml:space="preserve">, to enhance their participation in the implementation of TSD provisions within the </w:t>
      </w:r>
      <w:r w:rsidRPr="005113BD">
        <w:rPr>
          <w:rFonts w:asciiTheme="majorHAnsi" w:hAnsiTheme="majorHAnsi" w:cstheme="majorHAnsi"/>
          <w:b/>
          <w:bCs/>
        </w:rPr>
        <w:t>EU-</w:t>
      </w:r>
      <w:r w:rsidR="004F48BB">
        <w:rPr>
          <w:rFonts w:asciiTheme="majorHAnsi" w:hAnsiTheme="majorHAnsi" w:cstheme="majorHAnsi"/>
          <w:b/>
          <w:bCs/>
        </w:rPr>
        <w:t xml:space="preserve">Colombia/Peru/Ecuador Free Trade Agreement. </w:t>
      </w:r>
      <w:r w:rsidRPr="005113BD">
        <w:rPr>
          <w:rFonts w:asciiTheme="majorHAnsi" w:hAnsiTheme="majorHAnsi" w:cstheme="majorHAnsi"/>
        </w:rPr>
        <w:t xml:space="preserve"> </w:t>
      </w:r>
    </w:p>
    <w:p w14:paraId="702C21C4" w14:textId="77777777" w:rsidR="00A36D8A" w:rsidRPr="005113BD" w:rsidRDefault="00A36D8A" w:rsidP="00A36D8A">
      <w:pPr>
        <w:pStyle w:val="Textebrut"/>
        <w:spacing w:line="276" w:lineRule="auto"/>
        <w:jc w:val="both"/>
        <w:rPr>
          <w:rFonts w:asciiTheme="majorHAnsi" w:hAnsiTheme="majorHAnsi" w:cstheme="majorHAnsi"/>
          <w:lang w:val="en-GB"/>
        </w:rPr>
      </w:pPr>
      <w:r w:rsidRPr="005113BD">
        <w:rPr>
          <w:rFonts w:asciiTheme="majorHAnsi" w:hAnsiTheme="majorHAnsi" w:cstheme="majorHAnsi"/>
          <w:lang w:val="en-GB"/>
        </w:rPr>
        <w:t xml:space="preserve">The Terms of Reference of the </w:t>
      </w:r>
      <w:proofErr w:type="spellStart"/>
      <w:r w:rsidRPr="005113BD">
        <w:rPr>
          <w:rFonts w:asciiTheme="majorHAnsi" w:hAnsiTheme="majorHAnsi" w:cstheme="majorHAnsi"/>
          <w:lang w:val="en-GB"/>
        </w:rPr>
        <w:t>Patnership</w:t>
      </w:r>
      <w:proofErr w:type="spellEnd"/>
      <w:r w:rsidRPr="005113BD">
        <w:rPr>
          <w:rFonts w:asciiTheme="majorHAnsi" w:hAnsiTheme="majorHAnsi" w:cstheme="majorHAnsi"/>
          <w:lang w:val="en-GB"/>
        </w:rPr>
        <w:t xml:space="preserve"> Instrument (PI) project specify that desk studies are “</w:t>
      </w:r>
      <w:r w:rsidRPr="005113BD">
        <w:rPr>
          <w:rFonts w:asciiTheme="majorHAnsi" w:hAnsiTheme="majorHAnsi" w:cstheme="majorHAnsi"/>
          <w:i/>
          <w:iCs/>
          <w:lang w:val="en-GB"/>
        </w:rPr>
        <w:t>literature reviews, supplemented by phone interviews, which do not require</w:t>
      </w:r>
      <w:r w:rsidRPr="005113BD">
        <w:rPr>
          <w:rFonts w:asciiTheme="majorHAnsi" w:hAnsiTheme="majorHAnsi" w:cstheme="majorHAnsi"/>
          <w:i/>
          <w:iCs/>
          <w:color w:val="1F497D"/>
          <w:lang w:val="en-GB"/>
        </w:rPr>
        <w:t xml:space="preserve"> </w:t>
      </w:r>
      <w:r w:rsidRPr="005113BD">
        <w:rPr>
          <w:rFonts w:asciiTheme="majorHAnsi" w:hAnsiTheme="majorHAnsi" w:cstheme="majorHAnsi"/>
          <w:i/>
          <w:iCs/>
          <w:lang w:val="en-GB"/>
        </w:rPr>
        <w:t xml:space="preserve">travel. The objective of the studies will be to inform the work of the DAGs by providing an in-depth review of a subject of </w:t>
      </w:r>
      <w:proofErr w:type="gramStart"/>
      <w:r w:rsidRPr="005113BD">
        <w:rPr>
          <w:rFonts w:asciiTheme="majorHAnsi" w:hAnsiTheme="majorHAnsi" w:cstheme="majorHAnsi"/>
          <w:i/>
          <w:iCs/>
          <w:lang w:val="en-GB"/>
        </w:rPr>
        <w:t>particular relevance</w:t>
      </w:r>
      <w:proofErr w:type="gramEnd"/>
      <w:r w:rsidRPr="005113BD">
        <w:rPr>
          <w:rFonts w:asciiTheme="majorHAnsi" w:hAnsiTheme="majorHAnsi" w:cstheme="majorHAnsi"/>
          <w:i/>
          <w:iCs/>
          <w:lang w:val="en-GB"/>
        </w:rPr>
        <w:t>. This could be country-specific or horizontal</w:t>
      </w:r>
      <w:r w:rsidRPr="005113BD">
        <w:rPr>
          <w:rFonts w:asciiTheme="majorHAnsi" w:hAnsiTheme="majorHAnsi" w:cstheme="majorHAnsi"/>
          <w:lang w:val="en-GB"/>
        </w:rPr>
        <w:t>”.</w:t>
      </w:r>
    </w:p>
    <w:p w14:paraId="6DB4B61E" w14:textId="77777777" w:rsidR="00A36D8A" w:rsidRPr="005113BD" w:rsidRDefault="00A36D8A" w:rsidP="00A36D8A">
      <w:pPr>
        <w:jc w:val="both"/>
        <w:rPr>
          <w:rFonts w:asciiTheme="majorHAnsi" w:hAnsiTheme="majorHAnsi" w:cstheme="majorHAnsi"/>
        </w:rPr>
      </w:pPr>
    </w:p>
    <w:p w14:paraId="48BB960F" w14:textId="77777777" w:rsidR="00A36D8A" w:rsidRPr="005113BD" w:rsidRDefault="00A36D8A" w:rsidP="00A36D8A">
      <w:pPr>
        <w:pStyle w:val="Paragraphedeliste"/>
        <w:numPr>
          <w:ilvl w:val="0"/>
          <w:numId w:val="3"/>
        </w:numPr>
        <w:spacing w:after="0"/>
        <w:rPr>
          <w:rFonts w:asciiTheme="majorHAnsi" w:eastAsia="SimSun" w:hAnsiTheme="majorHAnsi" w:cstheme="majorHAnsi"/>
          <w:b/>
          <w:i/>
          <w:color w:val="1F497D"/>
          <w:sz w:val="22"/>
          <w:lang w:eastAsia="nl-BE"/>
        </w:rPr>
      </w:pPr>
      <w:r w:rsidRPr="005113BD">
        <w:rPr>
          <w:rFonts w:asciiTheme="majorHAnsi" w:eastAsia="SimSun" w:hAnsiTheme="majorHAnsi" w:cstheme="majorHAnsi"/>
          <w:b/>
          <w:i/>
          <w:color w:val="1F497D"/>
          <w:sz w:val="22"/>
          <w:lang w:eastAsia="nl-BE"/>
        </w:rPr>
        <w:t xml:space="preserve">Description of the Activity: Objectives and results to be achieved </w:t>
      </w:r>
    </w:p>
    <w:p w14:paraId="5F788C59" w14:textId="6956BBB8" w:rsidR="00A36D8A" w:rsidRPr="005113BD" w:rsidRDefault="00A36D8A" w:rsidP="00A36D8A">
      <w:pPr>
        <w:spacing w:before="120" w:after="120"/>
        <w:ind w:left="11" w:hanging="11"/>
        <w:jc w:val="both"/>
        <w:rPr>
          <w:rFonts w:asciiTheme="majorHAnsi" w:hAnsiTheme="majorHAnsi" w:cstheme="majorHAnsi"/>
          <w:b/>
          <w:bCs/>
        </w:rPr>
      </w:pPr>
      <w:r w:rsidRPr="005113BD">
        <w:rPr>
          <w:rFonts w:asciiTheme="majorHAnsi" w:hAnsiTheme="majorHAnsi" w:cstheme="majorHAnsi"/>
        </w:rPr>
        <w:t xml:space="preserve">Technical assistance is requested from </w:t>
      </w:r>
      <w:r w:rsidRPr="005113BD">
        <w:rPr>
          <w:rFonts w:asciiTheme="majorHAnsi" w:hAnsiTheme="majorHAnsi" w:cstheme="majorHAnsi"/>
          <w:b/>
          <w:bCs/>
        </w:rPr>
        <w:t>1 Senior Expert to collaborate on the delivery of content for a</w:t>
      </w:r>
      <w:r w:rsidRPr="005113BD">
        <w:rPr>
          <w:rFonts w:asciiTheme="majorHAnsi" w:hAnsiTheme="majorHAnsi" w:cstheme="majorHAnsi"/>
        </w:rPr>
        <w:t xml:space="preserve"> </w:t>
      </w:r>
      <w:r w:rsidRPr="005113BD">
        <w:rPr>
          <w:rFonts w:asciiTheme="majorHAnsi" w:hAnsiTheme="majorHAnsi" w:cstheme="majorHAnsi"/>
          <w:b/>
          <w:bCs/>
        </w:rPr>
        <w:t xml:space="preserve">Desk Study. </w:t>
      </w:r>
      <w:r w:rsidRPr="005113BD">
        <w:rPr>
          <w:rFonts w:asciiTheme="majorHAnsi" w:hAnsiTheme="majorHAnsi" w:cstheme="majorHAnsi"/>
        </w:rPr>
        <w:t xml:space="preserve">The Desk Study aims to expand the knowledge of, and provide detailed information to, the DAG members </w:t>
      </w:r>
      <w:r w:rsidRPr="00664EA7">
        <w:rPr>
          <w:rFonts w:asciiTheme="majorHAnsi" w:hAnsiTheme="majorHAnsi" w:cstheme="majorHAnsi"/>
        </w:rPr>
        <w:t>about “</w:t>
      </w:r>
      <w:r w:rsidR="00664EA7" w:rsidRPr="00664EA7">
        <w:rPr>
          <w:rFonts w:asciiTheme="majorHAnsi" w:hAnsiTheme="majorHAnsi" w:cstheme="majorHAnsi"/>
          <w:i/>
          <w:iCs/>
        </w:rPr>
        <w:t xml:space="preserve">The Voluntary </w:t>
      </w:r>
      <w:proofErr w:type="gramStart"/>
      <w:r w:rsidR="00664EA7" w:rsidRPr="00664EA7">
        <w:rPr>
          <w:rFonts w:asciiTheme="majorHAnsi" w:hAnsiTheme="majorHAnsi" w:cstheme="majorHAnsi"/>
          <w:i/>
          <w:iCs/>
        </w:rPr>
        <w:t>Fair Trade</w:t>
      </w:r>
      <w:proofErr w:type="gramEnd"/>
      <w:r w:rsidR="00664EA7" w:rsidRPr="00664EA7">
        <w:rPr>
          <w:rFonts w:asciiTheme="majorHAnsi" w:hAnsiTheme="majorHAnsi" w:cstheme="majorHAnsi"/>
          <w:i/>
          <w:iCs/>
        </w:rPr>
        <w:t xml:space="preserve"> market in the EU, Colombia, Ecuador and Peru</w:t>
      </w:r>
      <w:r w:rsidRPr="00664EA7">
        <w:rPr>
          <w:rFonts w:asciiTheme="majorHAnsi" w:hAnsiTheme="majorHAnsi" w:cstheme="majorHAnsi"/>
          <w:i/>
          <w:iCs/>
        </w:rPr>
        <w:t>”,</w:t>
      </w:r>
      <w:r w:rsidRPr="005113BD">
        <w:rPr>
          <w:rFonts w:asciiTheme="majorHAnsi" w:hAnsiTheme="majorHAnsi" w:cstheme="majorHAnsi"/>
        </w:rPr>
        <w:t xml:space="preserve"> in the context of </w:t>
      </w:r>
      <w:r w:rsidRPr="00664EA7">
        <w:rPr>
          <w:rFonts w:asciiTheme="majorHAnsi" w:hAnsiTheme="majorHAnsi" w:cstheme="majorHAnsi"/>
        </w:rPr>
        <w:t>the EU</w:t>
      </w:r>
      <w:r w:rsidR="00664EA7" w:rsidRPr="00664EA7">
        <w:rPr>
          <w:rFonts w:asciiTheme="majorHAnsi" w:hAnsiTheme="majorHAnsi" w:cstheme="majorHAnsi"/>
        </w:rPr>
        <w:t xml:space="preserve">-Colombia/Peru/Ecuador Free Trade Agreement </w:t>
      </w:r>
      <w:r w:rsidRPr="005113BD">
        <w:rPr>
          <w:rFonts w:asciiTheme="majorHAnsi" w:hAnsiTheme="majorHAnsi" w:cstheme="majorHAnsi"/>
        </w:rPr>
        <w:t>and more specifically in the relevant TSD chapter</w:t>
      </w:r>
      <w:r w:rsidRPr="005113BD">
        <w:rPr>
          <w:rFonts w:asciiTheme="majorHAnsi" w:hAnsiTheme="majorHAnsi" w:cstheme="majorHAnsi"/>
          <w:b/>
          <w:bCs/>
        </w:rPr>
        <w:t xml:space="preserve">.  </w:t>
      </w:r>
      <w:r w:rsidR="00664EA7">
        <w:rPr>
          <w:rFonts w:asciiTheme="majorHAnsi" w:hAnsiTheme="majorHAnsi" w:cstheme="majorHAnsi"/>
          <w:b/>
          <w:bCs/>
        </w:rPr>
        <w:t xml:space="preserve"> </w:t>
      </w:r>
    </w:p>
    <w:p w14:paraId="2EAD1670" w14:textId="77777777" w:rsidR="00A36D8A" w:rsidRPr="005113BD" w:rsidRDefault="00A36D8A" w:rsidP="00A36D8A">
      <w:pPr>
        <w:spacing w:before="120" w:after="120"/>
        <w:ind w:left="11" w:hanging="11"/>
        <w:jc w:val="both"/>
        <w:rPr>
          <w:rFonts w:asciiTheme="majorHAnsi" w:hAnsiTheme="majorHAnsi" w:cstheme="majorHAnsi"/>
        </w:rPr>
      </w:pPr>
      <w:r w:rsidRPr="005113BD">
        <w:rPr>
          <w:rFonts w:asciiTheme="majorHAnsi" w:hAnsiTheme="majorHAnsi" w:cstheme="majorHAnsi"/>
        </w:rPr>
        <w:t xml:space="preserve">The objectives of the Desk Study are: </w:t>
      </w:r>
    </w:p>
    <w:p w14:paraId="414293F0" w14:textId="7E111081" w:rsidR="00A36D8A" w:rsidRPr="005113BD" w:rsidRDefault="00A36D8A" w:rsidP="00A36D8A">
      <w:pPr>
        <w:pStyle w:val="Paragraphedeliste"/>
        <w:numPr>
          <w:ilvl w:val="0"/>
          <w:numId w:val="6"/>
        </w:numPr>
        <w:spacing w:before="120" w:after="120" w:line="276" w:lineRule="auto"/>
        <w:ind w:left="714" w:hanging="357"/>
        <w:jc w:val="both"/>
        <w:rPr>
          <w:rFonts w:asciiTheme="majorHAnsi" w:hAnsiTheme="majorHAnsi" w:cstheme="majorHAnsi"/>
          <w:sz w:val="22"/>
          <w:lang w:val="en-GB"/>
        </w:rPr>
      </w:pPr>
      <w:r w:rsidRPr="005113BD">
        <w:rPr>
          <w:rFonts w:asciiTheme="majorHAnsi" w:hAnsiTheme="majorHAnsi" w:cstheme="majorHAnsi"/>
          <w:sz w:val="22"/>
          <w:lang w:val="en-GB"/>
        </w:rPr>
        <w:t>To permit the EU-</w:t>
      </w:r>
      <w:r w:rsidR="00664EA7" w:rsidRPr="00664EA7">
        <w:rPr>
          <w:rFonts w:asciiTheme="majorHAnsi" w:hAnsiTheme="majorHAnsi" w:cstheme="majorHAnsi"/>
          <w:sz w:val="22"/>
          <w:lang w:val="en-GB"/>
        </w:rPr>
        <w:t xml:space="preserve">Colombia/Peru/Ecuador </w:t>
      </w:r>
      <w:r w:rsidRPr="005113BD">
        <w:rPr>
          <w:rFonts w:asciiTheme="majorHAnsi" w:hAnsiTheme="majorHAnsi" w:cstheme="majorHAnsi"/>
          <w:sz w:val="22"/>
          <w:lang w:val="en-GB"/>
        </w:rPr>
        <w:t xml:space="preserve">DAG to have in-depth information and knowledge on a subject of their choice, to provide a basis for their future positions and work </w:t>
      </w:r>
      <w:proofErr w:type="gramStart"/>
      <w:r w:rsidRPr="005113BD">
        <w:rPr>
          <w:rFonts w:asciiTheme="majorHAnsi" w:hAnsiTheme="majorHAnsi" w:cstheme="majorHAnsi"/>
          <w:sz w:val="22"/>
          <w:lang w:val="en-GB"/>
        </w:rPr>
        <w:t>programmes;</w:t>
      </w:r>
      <w:proofErr w:type="gramEnd"/>
    </w:p>
    <w:p w14:paraId="32324271" w14:textId="663F8A42" w:rsidR="00A36D8A" w:rsidRPr="005113BD" w:rsidRDefault="00A36D8A" w:rsidP="00A36D8A">
      <w:pPr>
        <w:pStyle w:val="Paragraphedeliste"/>
        <w:numPr>
          <w:ilvl w:val="0"/>
          <w:numId w:val="6"/>
        </w:numPr>
        <w:spacing w:before="120" w:after="120" w:line="276" w:lineRule="auto"/>
        <w:ind w:left="714" w:hanging="357"/>
        <w:jc w:val="both"/>
        <w:rPr>
          <w:rFonts w:asciiTheme="majorHAnsi" w:hAnsiTheme="majorHAnsi" w:cstheme="majorHAnsi"/>
          <w:sz w:val="22"/>
          <w:lang w:val="en-GB"/>
        </w:rPr>
      </w:pPr>
      <w:r w:rsidRPr="005113BD">
        <w:rPr>
          <w:rFonts w:asciiTheme="majorHAnsi" w:hAnsiTheme="majorHAnsi" w:cstheme="majorHAnsi"/>
          <w:sz w:val="22"/>
          <w:lang w:val="en-GB"/>
        </w:rPr>
        <w:t xml:space="preserve">To provide a framework in which the DAGs can reflect upon and analyse a specific subject related to </w:t>
      </w:r>
      <w:r w:rsidR="00664EA7">
        <w:rPr>
          <w:rFonts w:asciiTheme="majorHAnsi" w:hAnsiTheme="majorHAnsi" w:cstheme="majorHAnsi"/>
          <w:sz w:val="22"/>
          <w:lang w:val="en-GB"/>
        </w:rPr>
        <w:t xml:space="preserve">the </w:t>
      </w:r>
      <w:r w:rsidR="00664EA7" w:rsidRPr="00664EA7">
        <w:rPr>
          <w:rFonts w:asciiTheme="majorHAnsi" w:hAnsiTheme="majorHAnsi" w:cstheme="majorHAnsi"/>
          <w:sz w:val="22"/>
          <w:lang w:val="en-GB"/>
        </w:rPr>
        <w:t>EU-Colombia/Peru/Ecuador Free Trade Agreement</w:t>
      </w:r>
      <w:r w:rsidRPr="005113BD">
        <w:rPr>
          <w:rFonts w:asciiTheme="majorHAnsi" w:hAnsiTheme="majorHAnsi" w:cstheme="majorHAnsi"/>
          <w:sz w:val="22"/>
          <w:lang w:val="en-GB"/>
        </w:rPr>
        <w:t xml:space="preserve">, which they would not ordinarily have had the resources to </w:t>
      </w:r>
      <w:proofErr w:type="gramStart"/>
      <w:r w:rsidRPr="005113BD">
        <w:rPr>
          <w:rFonts w:asciiTheme="majorHAnsi" w:hAnsiTheme="majorHAnsi" w:cstheme="majorHAnsi"/>
          <w:sz w:val="22"/>
          <w:lang w:val="en-GB"/>
        </w:rPr>
        <w:t>explore;</w:t>
      </w:r>
      <w:proofErr w:type="gramEnd"/>
    </w:p>
    <w:p w14:paraId="4D2BC43D" w14:textId="6FB317F3" w:rsidR="00A36D8A" w:rsidRPr="005113BD" w:rsidRDefault="00A36D8A" w:rsidP="00A36D8A">
      <w:pPr>
        <w:pStyle w:val="Paragraphedeliste"/>
        <w:numPr>
          <w:ilvl w:val="0"/>
          <w:numId w:val="6"/>
        </w:numPr>
        <w:spacing w:before="120" w:after="120" w:line="276" w:lineRule="auto"/>
        <w:ind w:left="714" w:hanging="357"/>
        <w:jc w:val="both"/>
        <w:rPr>
          <w:rFonts w:asciiTheme="majorHAnsi" w:hAnsiTheme="majorHAnsi" w:cstheme="majorHAnsi"/>
          <w:sz w:val="22"/>
          <w:lang w:val="en-GB"/>
        </w:rPr>
      </w:pPr>
      <w:r w:rsidRPr="005113BD">
        <w:rPr>
          <w:rFonts w:asciiTheme="majorHAnsi" w:hAnsiTheme="majorHAnsi" w:cstheme="majorHAnsi"/>
          <w:sz w:val="22"/>
          <w:lang w:val="en-GB"/>
        </w:rPr>
        <w:t>To indirectly build capacity of the EU-</w:t>
      </w:r>
      <w:r w:rsidR="00664EA7" w:rsidRPr="00664EA7">
        <w:rPr>
          <w:rFonts w:asciiTheme="majorHAnsi" w:hAnsiTheme="majorHAnsi" w:cstheme="majorHAnsi"/>
          <w:sz w:val="22"/>
          <w:lang w:val="en-GB"/>
        </w:rPr>
        <w:t xml:space="preserve">Colombia/Peru/Ecuador </w:t>
      </w:r>
      <w:r w:rsidRPr="005113BD">
        <w:rPr>
          <w:rFonts w:asciiTheme="majorHAnsi" w:hAnsiTheme="majorHAnsi" w:cstheme="majorHAnsi"/>
          <w:sz w:val="22"/>
          <w:lang w:val="en-GB"/>
        </w:rPr>
        <w:t xml:space="preserve">DAG, via the acquisition of knowledge which can be applied in their ongoing </w:t>
      </w:r>
      <w:proofErr w:type="gramStart"/>
      <w:r w:rsidRPr="005113BD">
        <w:rPr>
          <w:rFonts w:asciiTheme="majorHAnsi" w:hAnsiTheme="majorHAnsi" w:cstheme="majorHAnsi"/>
          <w:sz w:val="22"/>
          <w:lang w:val="en-GB"/>
        </w:rPr>
        <w:t>discussions;</w:t>
      </w:r>
      <w:proofErr w:type="gramEnd"/>
    </w:p>
    <w:p w14:paraId="2314342D" w14:textId="44AAC57B" w:rsidR="00A36D8A" w:rsidRPr="005113BD" w:rsidRDefault="00A36D8A" w:rsidP="00A36D8A">
      <w:pPr>
        <w:pStyle w:val="Paragraphedeliste"/>
        <w:numPr>
          <w:ilvl w:val="0"/>
          <w:numId w:val="6"/>
        </w:numPr>
        <w:spacing w:before="120" w:after="120" w:line="276" w:lineRule="auto"/>
        <w:ind w:left="714" w:hanging="357"/>
        <w:jc w:val="both"/>
        <w:rPr>
          <w:rFonts w:asciiTheme="majorHAnsi" w:hAnsiTheme="majorHAnsi" w:cstheme="majorHAnsi"/>
          <w:sz w:val="22"/>
          <w:lang w:val="en-GB"/>
        </w:rPr>
      </w:pPr>
      <w:r w:rsidRPr="005113BD">
        <w:rPr>
          <w:rFonts w:asciiTheme="majorHAnsi" w:hAnsiTheme="majorHAnsi" w:cstheme="majorHAnsi"/>
          <w:sz w:val="22"/>
          <w:lang w:val="en-GB"/>
        </w:rPr>
        <w:t>To give the DAG members a better understanding of the subject and enable them to make well-informed recommendations on how to deal with it in discussions with their counterparts.</w:t>
      </w:r>
    </w:p>
    <w:p w14:paraId="092B080C" w14:textId="77777777" w:rsidR="00A36D8A" w:rsidRPr="005113BD" w:rsidRDefault="00A36D8A">
      <w:pPr>
        <w:rPr>
          <w:rFonts w:asciiTheme="majorHAnsi" w:hAnsiTheme="majorHAnsi" w:cstheme="majorHAnsi"/>
        </w:rPr>
      </w:pPr>
    </w:p>
    <w:p w14:paraId="6A11A7A3" w14:textId="77777777" w:rsidR="00A16C76" w:rsidRPr="005113BD" w:rsidRDefault="00F36BA2">
      <w:pPr>
        <w:rPr>
          <w:rFonts w:asciiTheme="majorHAnsi" w:hAnsiTheme="majorHAnsi" w:cstheme="majorHAnsi"/>
          <w:b/>
        </w:rPr>
      </w:pPr>
      <w:r w:rsidRPr="005113BD">
        <w:rPr>
          <w:rFonts w:asciiTheme="majorHAnsi" w:hAnsiTheme="majorHAnsi" w:cstheme="majorHAnsi"/>
          <w:b/>
        </w:rPr>
        <w:t>Main objectives</w:t>
      </w:r>
    </w:p>
    <w:p w14:paraId="42590B74" w14:textId="77777777" w:rsidR="00A16C76" w:rsidRPr="005113BD" w:rsidRDefault="00A16C76">
      <w:pPr>
        <w:rPr>
          <w:rFonts w:asciiTheme="majorHAnsi" w:hAnsiTheme="majorHAnsi" w:cstheme="majorHAnsi"/>
        </w:rPr>
      </w:pPr>
    </w:p>
    <w:p w14:paraId="6D1948EA" w14:textId="3B9D1C18" w:rsidR="00A16C76" w:rsidRPr="005113BD" w:rsidRDefault="00DB18EF">
      <w:pPr>
        <w:rPr>
          <w:rFonts w:asciiTheme="majorHAnsi" w:hAnsiTheme="majorHAnsi" w:cstheme="majorHAnsi"/>
        </w:rPr>
      </w:pPr>
      <w:r w:rsidRPr="005113BD">
        <w:rPr>
          <w:rFonts w:asciiTheme="majorHAnsi" w:hAnsiTheme="majorHAnsi" w:cstheme="majorHAnsi"/>
        </w:rPr>
        <w:t xml:space="preserve">The study will map fair trade schemes and initiatives in the Andean region and between the EU and the three Andean countries, provide relevant data, </w:t>
      </w:r>
      <w:r w:rsidR="00F36BA2" w:rsidRPr="005113BD">
        <w:rPr>
          <w:rFonts w:asciiTheme="majorHAnsi" w:hAnsiTheme="majorHAnsi" w:cstheme="majorHAnsi"/>
        </w:rPr>
        <w:t xml:space="preserve">and help us identify concrete opportunities for win-win cooperation between the EU and Colombia, </w:t>
      </w:r>
      <w:proofErr w:type="gramStart"/>
      <w:r w:rsidR="00F36BA2" w:rsidRPr="005113BD">
        <w:rPr>
          <w:rFonts w:asciiTheme="majorHAnsi" w:hAnsiTheme="majorHAnsi" w:cstheme="majorHAnsi"/>
        </w:rPr>
        <w:t>Ecuador</w:t>
      </w:r>
      <w:proofErr w:type="gramEnd"/>
      <w:r w:rsidR="00F36BA2" w:rsidRPr="005113BD">
        <w:rPr>
          <w:rFonts w:asciiTheme="majorHAnsi" w:hAnsiTheme="majorHAnsi" w:cstheme="majorHAnsi"/>
        </w:rPr>
        <w:t xml:space="preserve"> and Peru.</w:t>
      </w:r>
    </w:p>
    <w:p w14:paraId="7E0F28CC" w14:textId="77777777" w:rsidR="00A16C76" w:rsidRPr="005113BD" w:rsidRDefault="00A16C76">
      <w:pPr>
        <w:rPr>
          <w:rFonts w:asciiTheme="majorHAnsi" w:hAnsiTheme="majorHAnsi" w:cstheme="majorHAnsi"/>
        </w:rPr>
      </w:pPr>
    </w:p>
    <w:p w14:paraId="269D1A9D" w14:textId="77777777" w:rsidR="00A16C76" w:rsidRPr="005113BD" w:rsidRDefault="00F36BA2">
      <w:pPr>
        <w:rPr>
          <w:rFonts w:asciiTheme="majorHAnsi" w:hAnsiTheme="majorHAnsi" w:cstheme="majorHAnsi"/>
          <w:b/>
        </w:rPr>
      </w:pPr>
      <w:r w:rsidRPr="005113BD">
        <w:rPr>
          <w:rFonts w:asciiTheme="majorHAnsi" w:hAnsiTheme="majorHAnsi" w:cstheme="majorHAnsi"/>
          <w:b/>
        </w:rPr>
        <w:t>Proposed table of contents</w:t>
      </w:r>
    </w:p>
    <w:p w14:paraId="7412C04A" w14:textId="77777777" w:rsidR="00A16C76" w:rsidRPr="005113BD" w:rsidRDefault="00A16C76">
      <w:pPr>
        <w:rPr>
          <w:rFonts w:asciiTheme="majorHAnsi" w:hAnsiTheme="majorHAnsi" w:cstheme="majorHAnsi"/>
        </w:rPr>
      </w:pPr>
    </w:p>
    <w:tbl>
      <w:tblPr>
        <w:tblStyle w:val="a"/>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2985"/>
        <w:gridCol w:w="3225"/>
      </w:tblGrid>
      <w:tr w:rsidR="00A16C76" w:rsidRPr="005113BD" w14:paraId="3346C7D8" w14:textId="77777777">
        <w:tc>
          <w:tcPr>
            <w:tcW w:w="2715" w:type="dxa"/>
            <w:shd w:val="clear" w:color="auto" w:fill="auto"/>
            <w:tcMar>
              <w:top w:w="100" w:type="dxa"/>
              <w:left w:w="100" w:type="dxa"/>
              <w:bottom w:w="100" w:type="dxa"/>
              <w:right w:w="100" w:type="dxa"/>
            </w:tcMar>
          </w:tcPr>
          <w:p w14:paraId="0E67CD1F" w14:textId="77777777" w:rsidR="00A16C76" w:rsidRPr="005113BD" w:rsidRDefault="00F36BA2" w:rsidP="00410361">
            <w:pPr>
              <w:widowControl w:val="0"/>
              <w:pBdr>
                <w:top w:val="nil"/>
                <w:left w:val="nil"/>
                <w:bottom w:val="nil"/>
                <w:right w:val="nil"/>
                <w:between w:val="nil"/>
              </w:pBdr>
              <w:spacing w:line="240" w:lineRule="auto"/>
              <w:jc w:val="center"/>
              <w:rPr>
                <w:rFonts w:asciiTheme="majorHAnsi" w:hAnsiTheme="majorHAnsi" w:cstheme="majorHAnsi"/>
                <w:b/>
              </w:rPr>
            </w:pPr>
            <w:r w:rsidRPr="005113BD">
              <w:rPr>
                <w:rFonts w:asciiTheme="majorHAnsi" w:hAnsiTheme="majorHAnsi" w:cstheme="majorHAnsi"/>
                <w:b/>
              </w:rPr>
              <w:t>Section</w:t>
            </w:r>
          </w:p>
        </w:tc>
        <w:tc>
          <w:tcPr>
            <w:tcW w:w="2985" w:type="dxa"/>
            <w:shd w:val="clear" w:color="auto" w:fill="auto"/>
            <w:tcMar>
              <w:top w:w="100" w:type="dxa"/>
              <w:left w:w="100" w:type="dxa"/>
              <w:bottom w:w="100" w:type="dxa"/>
              <w:right w:w="100" w:type="dxa"/>
            </w:tcMar>
          </w:tcPr>
          <w:p w14:paraId="3F34EA04" w14:textId="77777777" w:rsidR="00A16C76" w:rsidRPr="005113BD" w:rsidRDefault="00F36BA2" w:rsidP="00410361">
            <w:pPr>
              <w:widowControl w:val="0"/>
              <w:pBdr>
                <w:top w:val="nil"/>
                <w:left w:val="nil"/>
                <w:bottom w:val="nil"/>
                <w:right w:val="nil"/>
                <w:between w:val="nil"/>
              </w:pBdr>
              <w:spacing w:line="240" w:lineRule="auto"/>
              <w:jc w:val="center"/>
              <w:rPr>
                <w:rFonts w:asciiTheme="majorHAnsi" w:hAnsiTheme="majorHAnsi" w:cstheme="majorHAnsi"/>
                <w:b/>
              </w:rPr>
            </w:pPr>
            <w:r w:rsidRPr="005113BD">
              <w:rPr>
                <w:rFonts w:asciiTheme="majorHAnsi" w:hAnsiTheme="majorHAnsi" w:cstheme="majorHAnsi"/>
                <w:b/>
              </w:rPr>
              <w:t>Objectives</w:t>
            </w:r>
          </w:p>
        </w:tc>
        <w:tc>
          <w:tcPr>
            <w:tcW w:w="3225" w:type="dxa"/>
            <w:shd w:val="clear" w:color="auto" w:fill="auto"/>
            <w:tcMar>
              <w:top w:w="100" w:type="dxa"/>
              <w:left w:w="100" w:type="dxa"/>
              <w:bottom w:w="100" w:type="dxa"/>
              <w:right w:w="100" w:type="dxa"/>
            </w:tcMar>
          </w:tcPr>
          <w:p w14:paraId="6C02676E" w14:textId="3FB0AF76" w:rsidR="00A16C76" w:rsidRPr="005113BD" w:rsidRDefault="00F36BA2" w:rsidP="00410361">
            <w:pPr>
              <w:widowControl w:val="0"/>
              <w:pBdr>
                <w:top w:val="nil"/>
                <w:left w:val="nil"/>
                <w:bottom w:val="nil"/>
                <w:right w:val="nil"/>
                <w:between w:val="nil"/>
              </w:pBdr>
              <w:spacing w:line="240" w:lineRule="auto"/>
              <w:jc w:val="center"/>
              <w:rPr>
                <w:rFonts w:asciiTheme="majorHAnsi" w:hAnsiTheme="majorHAnsi" w:cstheme="majorHAnsi"/>
                <w:b/>
              </w:rPr>
            </w:pPr>
            <w:r w:rsidRPr="005113BD">
              <w:rPr>
                <w:rFonts w:asciiTheme="majorHAnsi" w:hAnsiTheme="majorHAnsi" w:cstheme="majorHAnsi"/>
                <w:b/>
              </w:rPr>
              <w:t>Internal Note</w:t>
            </w:r>
          </w:p>
        </w:tc>
      </w:tr>
      <w:tr w:rsidR="00A16C76" w:rsidRPr="005113BD" w14:paraId="1F2595F4" w14:textId="77777777">
        <w:tc>
          <w:tcPr>
            <w:tcW w:w="2715" w:type="dxa"/>
            <w:shd w:val="clear" w:color="auto" w:fill="auto"/>
            <w:tcMar>
              <w:top w:w="100" w:type="dxa"/>
              <w:left w:w="100" w:type="dxa"/>
              <w:bottom w:w="100" w:type="dxa"/>
              <w:right w:w="100" w:type="dxa"/>
            </w:tcMar>
          </w:tcPr>
          <w:p w14:paraId="3D6D7E10" w14:textId="77777777" w:rsidR="00A16C76" w:rsidRPr="005113BD" w:rsidRDefault="00F36BA2" w:rsidP="00410361">
            <w:pPr>
              <w:jc w:val="both"/>
              <w:rPr>
                <w:rFonts w:asciiTheme="majorHAnsi" w:hAnsiTheme="majorHAnsi" w:cstheme="majorHAnsi"/>
              </w:rPr>
            </w:pPr>
            <w:r w:rsidRPr="005113BD">
              <w:rPr>
                <w:rFonts w:asciiTheme="majorHAnsi" w:hAnsiTheme="majorHAnsi" w:cstheme="majorHAnsi"/>
              </w:rPr>
              <w:t>Introduction, methodology</w:t>
            </w:r>
          </w:p>
        </w:tc>
        <w:tc>
          <w:tcPr>
            <w:tcW w:w="2985" w:type="dxa"/>
            <w:shd w:val="clear" w:color="auto" w:fill="auto"/>
            <w:tcMar>
              <w:top w:w="100" w:type="dxa"/>
              <w:left w:w="100" w:type="dxa"/>
              <w:bottom w:w="100" w:type="dxa"/>
              <w:right w:w="100" w:type="dxa"/>
            </w:tcMar>
          </w:tcPr>
          <w:p w14:paraId="337BA336" w14:textId="4B5121F5" w:rsidR="003F79C2" w:rsidRPr="005113BD" w:rsidRDefault="00F36BA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t>Explain background of study, how it has been done.</w:t>
            </w:r>
          </w:p>
          <w:p w14:paraId="2C8A086D" w14:textId="5BDFDC36" w:rsidR="003F79C2" w:rsidRPr="005113BD" w:rsidRDefault="003F79C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t xml:space="preserve">This section should include a </w:t>
            </w:r>
            <w:r w:rsidRPr="005113BD">
              <w:rPr>
                <w:rFonts w:asciiTheme="majorHAnsi" w:hAnsiTheme="majorHAnsi" w:cstheme="majorHAnsi"/>
              </w:rPr>
              <w:lastRenderedPageBreak/>
              <w:t>definition of “fair trade” and set out criteria for “fair trade” and examples of how these are certified in practice.</w:t>
            </w:r>
          </w:p>
        </w:tc>
        <w:tc>
          <w:tcPr>
            <w:tcW w:w="3225" w:type="dxa"/>
            <w:shd w:val="clear" w:color="auto" w:fill="auto"/>
            <w:tcMar>
              <w:top w:w="100" w:type="dxa"/>
              <w:left w:w="100" w:type="dxa"/>
              <w:bottom w:w="100" w:type="dxa"/>
              <w:right w:w="100" w:type="dxa"/>
            </w:tcMar>
          </w:tcPr>
          <w:p w14:paraId="4672048E"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tc>
      </w:tr>
      <w:tr w:rsidR="00A16C76" w:rsidRPr="005113BD" w14:paraId="0CA4521C" w14:textId="77777777">
        <w:tc>
          <w:tcPr>
            <w:tcW w:w="2715" w:type="dxa"/>
            <w:shd w:val="clear" w:color="auto" w:fill="auto"/>
            <w:tcMar>
              <w:top w:w="100" w:type="dxa"/>
              <w:left w:w="100" w:type="dxa"/>
              <w:bottom w:w="100" w:type="dxa"/>
              <w:right w:w="100" w:type="dxa"/>
            </w:tcMar>
          </w:tcPr>
          <w:p w14:paraId="7FF6675C" w14:textId="77777777" w:rsidR="00A16C76" w:rsidRPr="005113BD" w:rsidRDefault="00F36BA2" w:rsidP="00410361">
            <w:pPr>
              <w:jc w:val="both"/>
              <w:rPr>
                <w:rFonts w:asciiTheme="majorHAnsi" w:hAnsiTheme="majorHAnsi" w:cstheme="majorHAnsi"/>
              </w:rPr>
            </w:pPr>
            <w:r w:rsidRPr="005113BD">
              <w:rPr>
                <w:rFonts w:asciiTheme="majorHAnsi" w:hAnsiTheme="majorHAnsi" w:cstheme="majorHAnsi"/>
              </w:rPr>
              <w:t xml:space="preserve">Fair Trade data in Colombia, Ecuador, </w:t>
            </w:r>
            <w:proofErr w:type="gramStart"/>
            <w:r w:rsidRPr="005113BD">
              <w:rPr>
                <w:rFonts w:asciiTheme="majorHAnsi" w:hAnsiTheme="majorHAnsi" w:cstheme="majorHAnsi"/>
              </w:rPr>
              <w:t>Peru</w:t>
            </w:r>
            <w:proofErr w:type="gramEnd"/>
            <w:r w:rsidRPr="005113BD">
              <w:rPr>
                <w:rFonts w:asciiTheme="majorHAnsi" w:hAnsiTheme="majorHAnsi" w:cstheme="majorHAnsi"/>
              </w:rPr>
              <w:t xml:space="preserve"> and the EU</w:t>
            </w:r>
          </w:p>
          <w:p w14:paraId="2AE83DB1" w14:textId="77777777" w:rsidR="00A16C76" w:rsidRPr="005113BD" w:rsidRDefault="00A16C76" w:rsidP="00410361">
            <w:pPr>
              <w:jc w:val="both"/>
              <w:rPr>
                <w:rFonts w:asciiTheme="majorHAnsi" w:hAnsiTheme="majorHAnsi" w:cstheme="majorHAnsi"/>
              </w:rPr>
            </w:pPr>
          </w:p>
        </w:tc>
        <w:tc>
          <w:tcPr>
            <w:tcW w:w="2985" w:type="dxa"/>
            <w:shd w:val="clear" w:color="auto" w:fill="auto"/>
            <w:tcMar>
              <w:top w:w="100" w:type="dxa"/>
              <w:left w:w="100" w:type="dxa"/>
              <w:bottom w:w="100" w:type="dxa"/>
              <w:right w:w="100" w:type="dxa"/>
            </w:tcMar>
          </w:tcPr>
          <w:p w14:paraId="2A938026" w14:textId="573A5A55" w:rsidR="00A16C76" w:rsidRPr="005113BD" w:rsidRDefault="00F36BA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t xml:space="preserve">Provide key figures on Fair Trade sales (mainly in the EU) and </w:t>
            </w:r>
            <w:proofErr w:type="spellStart"/>
            <w:r w:rsidRPr="005113BD">
              <w:rPr>
                <w:rFonts w:asciiTheme="majorHAnsi" w:hAnsiTheme="majorHAnsi" w:cstheme="majorHAnsi"/>
              </w:rPr>
              <w:t>FairTrade</w:t>
            </w:r>
            <w:proofErr w:type="spellEnd"/>
            <w:r w:rsidRPr="005113BD">
              <w:rPr>
                <w:rFonts w:asciiTheme="majorHAnsi" w:hAnsiTheme="majorHAnsi" w:cstheme="majorHAnsi"/>
              </w:rPr>
              <w:t xml:space="preserve"> production figures (mainly in Colombia, </w:t>
            </w:r>
            <w:proofErr w:type="gramStart"/>
            <w:r w:rsidRPr="005113BD">
              <w:rPr>
                <w:rFonts w:asciiTheme="majorHAnsi" w:hAnsiTheme="majorHAnsi" w:cstheme="majorHAnsi"/>
              </w:rPr>
              <w:t>Ecuador</w:t>
            </w:r>
            <w:proofErr w:type="gramEnd"/>
            <w:r w:rsidRPr="005113BD">
              <w:rPr>
                <w:rFonts w:asciiTheme="majorHAnsi" w:hAnsiTheme="majorHAnsi" w:cstheme="majorHAnsi"/>
              </w:rPr>
              <w:t xml:space="preserve"> and Peru)</w:t>
            </w:r>
          </w:p>
          <w:p w14:paraId="77A80B44" w14:textId="77777777" w:rsidR="00A16C76" w:rsidRPr="005113BD" w:rsidRDefault="00F36BA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t>If available, identify how many small producers and workers work in Fair trade supply chains.</w:t>
            </w:r>
          </w:p>
          <w:p w14:paraId="04C52B44"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p w14:paraId="1B19710C"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tc>
        <w:tc>
          <w:tcPr>
            <w:tcW w:w="3225" w:type="dxa"/>
            <w:shd w:val="clear" w:color="auto" w:fill="auto"/>
            <w:tcMar>
              <w:top w:w="100" w:type="dxa"/>
              <w:left w:w="100" w:type="dxa"/>
              <w:bottom w:w="100" w:type="dxa"/>
              <w:right w:w="100" w:type="dxa"/>
            </w:tcMar>
          </w:tcPr>
          <w:p w14:paraId="3A12ACAE" w14:textId="77777777" w:rsidR="00A16C76" w:rsidRPr="005113BD" w:rsidRDefault="00F36BA2" w:rsidP="00410361">
            <w:pPr>
              <w:widowControl w:val="0"/>
              <w:spacing w:line="240" w:lineRule="auto"/>
              <w:jc w:val="both"/>
              <w:rPr>
                <w:rFonts w:asciiTheme="majorHAnsi" w:hAnsiTheme="majorHAnsi" w:cstheme="majorHAnsi"/>
              </w:rPr>
            </w:pPr>
            <w:r w:rsidRPr="005113BD">
              <w:rPr>
                <w:rFonts w:asciiTheme="majorHAnsi" w:hAnsiTheme="majorHAnsi" w:cstheme="majorHAnsi"/>
              </w:rPr>
              <w:t>Note: no need to create new data, simply collect what is available. complete data does not exist, but partial data would already be helpful.</w:t>
            </w:r>
          </w:p>
          <w:p w14:paraId="79776873" w14:textId="77777777" w:rsidR="00A16C76" w:rsidRPr="005113BD" w:rsidRDefault="00A16C76" w:rsidP="00410361">
            <w:pPr>
              <w:widowControl w:val="0"/>
              <w:spacing w:line="240" w:lineRule="auto"/>
              <w:jc w:val="both"/>
              <w:rPr>
                <w:rFonts w:asciiTheme="majorHAnsi" w:hAnsiTheme="majorHAnsi" w:cstheme="majorHAnsi"/>
              </w:rPr>
            </w:pPr>
          </w:p>
          <w:p w14:paraId="1CE2DE52" w14:textId="77777777" w:rsidR="00A16C76" w:rsidRPr="005113BD" w:rsidRDefault="00F36BA2" w:rsidP="00410361">
            <w:pPr>
              <w:widowControl w:val="0"/>
              <w:spacing w:line="240" w:lineRule="auto"/>
              <w:jc w:val="both"/>
              <w:rPr>
                <w:rFonts w:asciiTheme="majorHAnsi" w:hAnsiTheme="majorHAnsi" w:cstheme="majorHAnsi"/>
              </w:rPr>
            </w:pPr>
            <w:r w:rsidRPr="005113BD">
              <w:rPr>
                <w:rFonts w:asciiTheme="majorHAnsi" w:hAnsiTheme="majorHAnsi" w:cstheme="majorHAnsi"/>
              </w:rPr>
              <w:t>For example: ADEX in Peru can provide data on Crafts and food.</w:t>
            </w:r>
          </w:p>
          <w:p w14:paraId="78E440AC" w14:textId="2731A4B2" w:rsidR="003F79C2" w:rsidRPr="005113BD" w:rsidRDefault="003F79C2" w:rsidP="00410361">
            <w:pPr>
              <w:widowControl w:val="0"/>
              <w:spacing w:line="240" w:lineRule="auto"/>
              <w:jc w:val="both"/>
              <w:rPr>
                <w:rFonts w:asciiTheme="majorHAnsi" w:hAnsiTheme="majorHAnsi" w:cstheme="majorHAnsi"/>
              </w:rPr>
            </w:pPr>
          </w:p>
          <w:p w14:paraId="74EEEA6D" w14:textId="7848158F" w:rsidR="003F79C2" w:rsidRPr="005113BD" w:rsidRDefault="003F79C2" w:rsidP="00410361">
            <w:pPr>
              <w:widowControl w:val="0"/>
              <w:spacing w:line="240" w:lineRule="auto"/>
              <w:jc w:val="both"/>
              <w:rPr>
                <w:rFonts w:asciiTheme="majorHAnsi" w:hAnsiTheme="majorHAnsi" w:cstheme="majorHAnsi"/>
              </w:rPr>
            </w:pPr>
            <w:r w:rsidRPr="005113BD">
              <w:rPr>
                <w:rFonts w:asciiTheme="majorHAnsi" w:hAnsiTheme="majorHAnsi" w:cstheme="majorHAnsi"/>
              </w:rPr>
              <w:t xml:space="preserve">The social and ecological impacts of fair-trade schemes in the region should also be touched upon, </w:t>
            </w:r>
            <w:proofErr w:type="gramStart"/>
            <w:r w:rsidRPr="005113BD">
              <w:rPr>
                <w:rFonts w:asciiTheme="majorHAnsi" w:hAnsiTheme="majorHAnsi" w:cstheme="majorHAnsi"/>
              </w:rPr>
              <w:t>e.g.</w:t>
            </w:r>
            <w:proofErr w:type="gramEnd"/>
            <w:r w:rsidRPr="005113BD">
              <w:rPr>
                <w:rFonts w:asciiTheme="majorHAnsi" w:hAnsiTheme="majorHAnsi" w:cstheme="majorHAnsi"/>
              </w:rPr>
              <w:t xml:space="preserve"> through examples.</w:t>
            </w:r>
          </w:p>
        </w:tc>
      </w:tr>
      <w:tr w:rsidR="00A16C76" w:rsidRPr="005113BD" w14:paraId="08710E39" w14:textId="77777777">
        <w:tc>
          <w:tcPr>
            <w:tcW w:w="2715" w:type="dxa"/>
            <w:shd w:val="clear" w:color="auto" w:fill="auto"/>
            <w:tcMar>
              <w:top w:w="100" w:type="dxa"/>
              <w:left w:w="100" w:type="dxa"/>
              <w:bottom w:w="100" w:type="dxa"/>
              <w:right w:w="100" w:type="dxa"/>
            </w:tcMar>
          </w:tcPr>
          <w:p w14:paraId="16EEAF0D" w14:textId="77777777" w:rsidR="00A16C76" w:rsidRPr="005113BD" w:rsidRDefault="00F36BA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t xml:space="preserve">Fair Trade Public policies in Colombia, Ecuador, </w:t>
            </w:r>
            <w:proofErr w:type="gramStart"/>
            <w:r w:rsidRPr="005113BD">
              <w:rPr>
                <w:rFonts w:asciiTheme="majorHAnsi" w:hAnsiTheme="majorHAnsi" w:cstheme="majorHAnsi"/>
              </w:rPr>
              <w:t>Peru</w:t>
            </w:r>
            <w:proofErr w:type="gramEnd"/>
            <w:r w:rsidRPr="005113BD">
              <w:rPr>
                <w:rFonts w:asciiTheme="majorHAnsi" w:hAnsiTheme="majorHAnsi" w:cstheme="majorHAnsi"/>
              </w:rPr>
              <w:t xml:space="preserve"> and the EU</w:t>
            </w:r>
          </w:p>
          <w:p w14:paraId="5DBE4602"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tc>
        <w:tc>
          <w:tcPr>
            <w:tcW w:w="2985" w:type="dxa"/>
            <w:shd w:val="clear" w:color="auto" w:fill="auto"/>
            <w:tcMar>
              <w:top w:w="100" w:type="dxa"/>
              <w:left w:w="100" w:type="dxa"/>
              <w:bottom w:w="100" w:type="dxa"/>
              <w:right w:w="100" w:type="dxa"/>
            </w:tcMar>
          </w:tcPr>
          <w:p w14:paraId="6790B515" w14:textId="7919D412" w:rsidR="00A16C76" w:rsidRPr="005113BD" w:rsidRDefault="00664EA7" w:rsidP="00410361">
            <w:pPr>
              <w:widowControl w:val="0"/>
              <w:pBdr>
                <w:top w:val="nil"/>
                <w:left w:val="nil"/>
                <w:bottom w:val="nil"/>
                <w:right w:val="nil"/>
                <w:between w:val="nil"/>
              </w:pBdr>
              <w:spacing w:line="240" w:lineRule="auto"/>
              <w:jc w:val="both"/>
              <w:rPr>
                <w:rFonts w:asciiTheme="majorHAnsi" w:hAnsiTheme="majorHAnsi" w:cstheme="majorHAnsi"/>
              </w:rPr>
            </w:pPr>
            <w:r>
              <w:rPr>
                <w:rFonts w:asciiTheme="majorHAnsi" w:hAnsiTheme="majorHAnsi" w:cstheme="majorHAnsi"/>
              </w:rPr>
              <w:t>A</w:t>
            </w:r>
            <w:r w:rsidR="00F36BA2" w:rsidRPr="005113BD">
              <w:rPr>
                <w:rFonts w:asciiTheme="majorHAnsi" w:hAnsiTheme="majorHAnsi" w:cstheme="majorHAnsi"/>
              </w:rPr>
              <w:t>nalysis of the various public policies that have been put in place (</w:t>
            </w:r>
            <w:proofErr w:type="gramStart"/>
            <w:r w:rsidR="00F36BA2" w:rsidRPr="005113BD">
              <w:rPr>
                <w:rFonts w:asciiTheme="majorHAnsi" w:hAnsiTheme="majorHAnsi" w:cstheme="majorHAnsi"/>
              </w:rPr>
              <w:t>e.g</w:t>
            </w:r>
            <w:r w:rsidR="002B0BC1">
              <w:rPr>
                <w:rFonts w:asciiTheme="majorHAnsi" w:hAnsiTheme="majorHAnsi" w:cstheme="majorHAnsi"/>
              </w:rPr>
              <w:t>.</w:t>
            </w:r>
            <w:proofErr w:type="gramEnd"/>
            <w:r w:rsidR="00F36BA2" w:rsidRPr="005113BD">
              <w:rPr>
                <w:rFonts w:asciiTheme="majorHAnsi" w:hAnsiTheme="majorHAnsi" w:cstheme="majorHAnsi"/>
              </w:rPr>
              <w:t xml:space="preserve"> France, Italy, Ecuador, Peru, EU level) to support such bottom-up voluntary practices to give market access opportunities to disadvantaged producers</w:t>
            </w:r>
          </w:p>
        </w:tc>
        <w:tc>
          <w:tcPr>
            <w:tcW w:w="3225" w:type="dxa"/>
            <w:shd w:val="clear" w:color="auto" w:fill="auto"/>
            <w:tcMar>
              <w:top w:w="100" w:type="dxa"/>
              <w:left w:w="100" w:type="dxa"/>
              <w:bottom w:w="100" w:type="dxa"/>
              <w:right w:w="100" w:type="dxa"/>
            </w:tcMar>
          </w:tcPr>
          <w:p w14:paraId="357FD839" w14:textId="1A7815A7" w:rsidR="00A16C76" w:rsidRPr="005113BD" w:rsidRDefault="00F36BA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t xml:space="preserve">Note: Fair Trade Advocacy Office (FTAO) has quite some information already. </w:t>
            </w:r>
          </w:p>
          <w:p w14:paraId="0496C446"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p w14:paraId="7C984791" w14:textId="77777777" w:rsidR="00A16C76" w:rsidRPr="005113BD" w:rsidRDefault="00F36BA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t>Important to check with them before starting research (to avoid double work)</w:t>
            </w:r>
          </w:p>
          <w:p w14:paraId="545D9D59" w14:textId="77777777" w:rsidR="003F79C2" w:rsidRPr="005113BD" w:rsidRDefault="003F79C2" w:rsidP="00410361">
            <w:pPr>
              <w:widowControl w:val="0"/>
              <w:pBdr>
                <w:top w:val="nil"/>
                <w:left w:val="nil"/>
                <w:bottom w:val="nil"/>
                <w:right w:val="nil"/>
                <w:between w:val="nil"/>
              </w:pBdr>
              <w:spacing w:line="240" w:lineRule="auto"/>
              <w:jc w:val="both"/>
              <w:rPr>
                <w:rFonts w:asciiTheme="majorHAnsi" w:hAnsiTheme="majorHAnsi" w:cstheme="majorHAnsi"/>
              </w:rPr>
            </w:pPr>
          </w:p>
          <w:p w14:paraId="585AE6C2" w14:textId="77777777" w:rsidR="003F79C2" w:rsidRPr="005113BD" w:rsidRDefault="003F79C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t>For the analysis, the researcher should also assess whether the schemes have been effective in achieving the aim of socially and environmentally fair trade.</w:t>
            </w:r>
          </w:p>
          <w:p w14:paraId="4B9E9806" w14:textId="77777777" w:rsidR="00287C05" w:rsidRPr="005113BD" w:rsidRDefault="00287C05" w:rsidP="00410361">
            <w:pPr>
              <w:widowControl w:val="0"/>
              <w:pBdr>
                <w:top w:val="nil"/>
                <w:left w:val="nil"/>
                <w:bottom w:val="nil"/>
                <w:right w:val="nil"/>
                <w:between w:val="nil"/>
              </w:pBdr>
              <w:spacing w:line="240" w:lineRule="auto"/>
              <w:jc w:val="both"/>
              <w:rPr>
                <w:rFonts w:asciiTheme="majorHAnsi" w:hAnsiTheme="majorHAnsi" w:cstheme="majorHAnsi"/>
              </w:rPr>
            </w:pPr>
          </w:p>
          <w:p w14:paraId="7228FE04" w14:textId="0F4B621B" w:rsidR="00287C05" w:rsidRPr="005113BD" w:rsidRDefault="00287C05" w:rsidP="00410361">
            <w:pPr>
              <w:widowControl w:val="0"/>
              <w:pBdr>
                <w:top w:val="nil"/>
                <w:left w:val="nil"/>
                <w:bottom w:val="nil"/>
                <w:right w:val="nil"/>
                <w:between w:val="nil"/>
              </w:pBdr>
              <w:spacing w:line="240" w:lineRule="auto"/>
              <w:jc w:val="both"/>
              <w:rPr>
                <w:rFonts w:asciiTheme="majorHAnsi" w:hAnsiTheme="majorHAnsi" w:cstheme="majorHAnsi"/>
                <w:lang w:val="en-US"/>
              </w:rPr>
            </w:pPr>
            <w:r w:rsidRPr="005113BD">
              <w:rPr>
                <w:rFonts w:asciiTheme="majorHAnsi" w:hAnsiTheme="majorHAnsi" w:cstheme="majorHAnsi"/>
                <w:lang w:val="en-US"/>
              </w:rPr>
              <w:t>It would be good to highlight if fair trade mechanisms include complaints mechanisms or independent auditing, and if stakeholder consultation takes place (communities and workers) to know if those mechanisms are able to prevent and mitigate labor violations.</w:t>
            </w:r>
          </w:p>
          <w:p w14:paraId="0112AB8C" w14:textId="77777777" w:rsidR="00287C05" w:rsidRPr="005113BD" w:rsidRDefault="00287C05" w:rsidP="00410361">
            <w:pPr>
              <w:widowControl w:val="0"/>
              <w:pBdr>
                <w:top w:val="nil"/>
                <w:left w:val="nil"/>
                <w:bottom w:val="nil"/>
                <w:right w:val="nil"/>
                <w:between w:val="nil"/>
              </w:pBdr>
              <w:spacing w:line="240" w:lineRule="auto"/>
              <w:jc w:val="both"/>
              <w:rPr>
                <w:rFonts w:asciiTheme="majorHAnsi" w:hAnsiTheme="majorHAnsi" w:cstheme="majorHAnsi"/>
                <w:lang w:val="en-US"/>
              </w:rPr>
            </w:pPr>
          </w:p>
          <w:p w14:paraId="26F4626F" w14:textId="0BE36BB5" w:rsidR="00287C05" w:rsidRPr="005113BD" w:rsidRDefault="00287C05" w:rsidP="00410361">
            <w:pPr>
              <w:widowControl w:val="0"/>
              <w:pBdr>
                <w:top w:val="nil"/>
                <w:left w:val="nil"/>
                <w:bottom w:val="nil"/>
                <w:right w:val="nil"/>
                <w:between w:val="nil"/>
              </w:pBdr>
              <w:spacing w:line="240" w:lineRule="auto"/>
              <w:jc w:val="both"/>
              <w:rPr>
                <w:rFonts w:asciiTheme="majorHAnsi" w:hAnsiTheme="majorHAnsi" w:cstheme="majorHAnsi"/>
                <w:lang w:val="en-US"/>
              </w:rPr>
            </w:pPr>
            <w:r w:rsidRPr="005113BD">
              <w:rPr>
                <w:rFonts w:asciiTheme="majorHAnsi" w:hAnsiTheme="majorHAnsi" w:cstheme="majorHAnsi"/>
                <w:lang w:val="en-US"/>
              </w:rPr>
              <w:t xml:space="preserve">It would also be good to compare the different mechanisms in place for different sectors (RSPO for palm, </w:t>
            </w:r>
            <w:proofErr w:type="spellStart"/>
            <w:r w:rsidRPr="005113BD">
              <w:rPr>
                <w:rFonts w:asciiTheme="majorHAnsi" w:hAnsiTheme="majorHAnsi" w:cstheme="majorHAnsi"/>
                <w:lang w:val="en-US"/>
              </w:rPr>
              <w:t>bonsucro</w:t>
            </w:r>
            <w:proofErr w:type="spellEnd"/>
            <w:r w:rsidRPr="005113BD">
              <w:rPr>
                <w:rFonts w:asciiTheme="majorHAnsi" w:hAnsiTheme="majorHAnsi" w:cstheme="majorHAnsi"/>
                <w:lang w:val="en-US"/>
              </w:rPr>
              <w:t xml:space="preserve"> for sugar, fair trade as a general mechanism) with regards to what is included in their standard (</w:t>
            </w:r>
            <w:proofErr w:type="spellStart"/>
            <w:r w:rsidRPr="005113BD">
              <w:rPr>
                <w:rFonts w:asciiTheme="majorHAnsi" w:hAnsiTheme="majorHAnsi" w:cstheme="majorHAnsi"/>
                <w:lang w:val="en-US"/>
              </w:rPr>
              <w:t>p.j.</w:t>
            </w:r>
            <w:proofErr w:type="spellEnd"/>
            <w:r w:rsidRPr="005113BD">
              <w:rPr>
                <w:rFonts w:asciiTheme="majorHAnsi" w:hAnsiTheme="majorHAnsi" w:cstheme="majorHAnsi"/>
                <w:lang w:val="en-US"/>
              </w:rPr>
              <w:t xml:space="preserve"> living wage, child </w:t>
            </w:r>
            <w:proofErr w:type="spellStart"/>
            <w:r w:rsidRPr="005113BD">
              <w:rPr>
                <w:rFonts w:asciiTheme="majorHAnsi" w:hAnsiTheme="majorHAnsi" w:cstheme="majorHAnsi"/>
                <w:lang w:val="en-US"/>
              </w:rPr>
              <w:t>labour</w:t>
            </w:r>
            <w:proofErr w:type="spellEnd"/>
            <w:r w:rsidRPr="005113BD">
              <w:rPr>
                <w:rFonts w:asciiTheme="majorHAnsi" w:hAnsiTheme="majorHAnsi" w:cstheme="majorHAnsi"/>
                <w:lang w:val="en-US"/>
              </w:rPr>
              <w:t xml:space="preserve">, forced </w:t>
            </w:r>
            <w:proofErr w:type="spellStart"/>
            <w:r w:rsidRPr="005113BD">
              <w:rPr>
                <w:rFonts w:asciiTheme="majorHAnsi" w:hAnsiTheme="majorHAnsi" w:cstheme="majorHAnsi"/>
                <w:lang w:val="en-US"/>
              </w:rPr>
              <w:t>labour</w:t>
            </w:r>
            <w:proofErr w:type="spellEnd"/>
            <w:r w:rsidRPr="005113BD">
              <w:rPr>
                <w:rFonts w:asciiTheme="majorHAnsi" w:hAnsiTheme="majorHAnsi" w:cstheme="majorHAnsi"/>
                <w:lang w:val="en-US"/>
              </w:rPr>
              <w:t xml:space="preserve">), being part of ISEAL for example and if they refer to for example ILO conventions and standards. </w:t>
            </w:r>
          </w:p>
        </w:tc>
      </w:tr>
      <w:tr w:rsidR="00A16C76" w:rsidRPr="005113BD" w14:paraId="69CC1255" w14:textId="77777777">
        <w:tc>
          <w:tcPr>
            <w:tcW w:w="2715" w:type="dxa"/>
            <w:shd w:val="clear" w:color="auto" w:fill="auto"/>
            <w:tcMar>
              <w:top w:w="100" w:type="dxa"/>
              <w:left w:w="100" w:type="dxa"/>
              <w:bottom w:w="100" w:type="dxa"/>
              <w:right w:w="100" w:type="dxa"/>
            </w:tcMar>
          </w:tcPr>
          <w:p w14:paraId="743B68A3" w14:textId="77777777" w:rsidR="00A16C76" w:rsidRPr="005113BD" w:rsidRDefault="00F36BA2" w:rsidP="00410361">
            <w:pPr>
              <w:widowControl w:val="0"/>
              <w:pBdr>
                <w:top w:val="nil"/>
                <w:left w:val="nil"/>
                <w:bottom w:val="nil"/>
                <w:right w:val="nil"/>
                <w:between w:val="nil"/>
              </w:pBdr>
              <w:spacing w:line="240" w:lineRule="auto"/>
              <w:jc w:val="both"/>
              <w:rPr>
                <w:rFonts w:asciiTheme="majorHAnsi" w:hAnsiTheme="majorHAnsi" w:cstheme="majorHAnsi"/>
              </w:rPr>
            </w:pPr>
            <w:r w:rsidRPr="005113BD">
              <w:rPr>
                <w:rFonts w:asciiTheme="majorHAnsi" w:hAnsiTheme="majorHAnsi" w:cstheme="majorHAnsi"/>
              </w:rPr>
              <w:lastRenderedPageBreak/>
              <w:t>Policy options to promote Fair Trade supply chains between the Andean countries (Colombia, Ecuador, Peru) and the EU</w:t>
            </w:r>
          </w:p>
          <w:p w14:paraId="262A1D71"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tc>
        <w:tc>
          <w:tcPr>
            <w:tcW w:w="2985" w:type="dxa"/>
            <w:shd w:val="clear" w:color="auto" w:fill="auto"/>
            <w:tcMar>
              <w:top w:w="100" w:type="dxa"/>
              <w:left w:w="100" w:type="dxa"/>
              <w:bottom w:w="100" w:type="dxa"/>
              <w:right w:w="100" w:type="dxa"/>
            </w:tcMar>
          </w:tcPr>
          <w:p w14:paraId="68CF07B1" w14:textId="0E576F2F" w:rsidR="00A16C76" w:rsidRPr="005113BD" w:rsidRDefault="00F36BA2" w:rsidP="00410361">
            <w:pPr>
              <w:jc w:val="both"/>
              <w:rPr>
                <w:rFonts w:asciiTheme="majorHAnsi" w:hAnsiTheme="majorHAnsi" w:cstheme="majorHAnsi"/>
              </w:rPr>
            </w:pPr>
            <w:r w:rsidRPr="005113BD">
              <w:rPr>
                <w:rFonts w:asciiTheme="majorHAnsi" w:hAnsiTheme="majorHAnsi" w:cstheme="majorHAnsi"/>
              </w:rPr>
              <w:t>Identify</w:t>
            </w:r>
            <w:r w:rsidR="00410361">
              <w:rPr>
                <w:rFonts w:asciiTheme="majorHAnsi" w:hAnsiTheme="majorHAnsi" w:cstheme="majorHAnsi"/>
              </w:rPr>
              <w:t xml:space="preserve"> </w:t>
            </w:r>
            <w:r w:rsidRPr="005113BD">
              <w:rPr>
                <w:rFonts w:asciiTheme="majorHAnsi" w:hAnsiTheme="majorHAnsi" w:cstheme="majorHAnsi"/>
              </w:rPr>
              <w:t>policy recommendations and funding instruments</w:t>
            </w:r>
            <w:r w:rsidR="00410361">
              <w:rPr>
                <w:rFonts w:asciiTheme="majorHAnsi" w:hAnsiTheme="majorHAnsi" w:cstheme="majorHAnsi"/>
              </w:rPr>
              <w:t xml:space="preserve"> </w:t>
            </w:r>
            <w:r w:rsidRPr="005113BD">
              <w:rPr>
                <w:rFonts w:asciiTheme="majorHAnsi" w:hAnsiTheme="majorHAnsi" w:cstheme="majorHAnsi"/>
              </w:rPr>
              <w:t>(economic diplomacy programmes? other funding managed by DG INTPA, role of EU delegations)</w:t>
            </w:r>
            <w:r w:rsidR="00410361">
              <w:rPr>
                <w:rFonts w:asciiTheme="majorHAnsi" w:hAnsiTheme="majorHAnsi" w:cstheme="majorHAnsi"/>
              </w:rPr>
              <w:t xml:space="preserve"> </w:t>
            </w:r>
            <w:r w:rsidRPr="005113BD">
              <w:rPr>
                <w:rFonts w:asciiTheme="majorHAnsi" w:hAnsiTheme="majorHAnsi" w:cstheme="majorHAnsi"/>
              </w:rPr>
              <w:t xml:space="preserve">on how to promote a higher uptake of </w:t>
            </w:r>
            <w:proofErr w:type="gramStart"/>
            <w:r w:rsidRPr="005113BD">
              <w:rPr>
                <w:rFonts w:asciiTheme="majorHAnsi" w:hAnsiTheme="majorHAnsi" w:cstheme="majorHAnsi"/>
              </w:rPr>
              <w:t>fair trade</w:t>
            </w:r>
            <w:proofErr w:type="gramEnd"/>
            <w:r w:rsidRPr="005113BD">
              <w:rPr>
                <w:rFonts w:asciiTheme="majorHAnsi" w:hAnsiTheme="majorHAnsi" w:cstheme="majorHAnsi"/>
              </w:rPr>
              <w:t xml:space="preserve"> goods between EU and Colombia, Ecuador and Peru by creating more connections between producers and buyers.</w:t>
            </w:r>
          </w:p>
          <w:p w14:paraId="72837EE7" w14:textId="77777777" w:rsidR="003F79C2" w:rsidRPr="005113BD" w:rsidRDefault="003F79C2" w:rsidP="00410361">
            <w:pPr>
              <w:jc w:val="both"/>
              <w:rPr>
                <w:rFonts w:asciiTheme="majorHAnsi" w:hAnsiTheme="majorHAnsi" w:cstheme="majorHAnsi"/>
              </w:rPr>
            </w:pPr>
            <w:r w:rsidRPr="005113BD">
              <w:rPr>
                <w:rFonts w:asciiTheme="majorHAnsi" w:hAnsiTheme="majorHAnsi" w:cstheme="majorHAnsi"/>
              </w:rPr>
              <w:t>Assess their impact as far as possible.</w:t>
            </w:r>
          </w:p>
          <w:p w14:paraId="6967122D" w14:textId="2FABF284" w:rsidR="00A16C76" w:rsidRPr="005113BD" w:rsidRDefault="00F36BA2" w:rsidP="00410361">
            <w:pPr>
              <w:jc w:val="both"/>
              <w:rPr>
                <w:rFonts w:asciiTheme="majorHAnsi" w:hAnsiTheme="majorHAnsi" w:cstheme="majorHAnsi"/>
              </w:rPr>
            </w:pPr>
            <w:r w:rsidRPr="005113BD">
              <w:rPr>
                <w:rFonts w:asciiTheme="majorHAnsi" w:hAnsiTheme="majorHAnsi" w:cstheme="majorHAnsi"/>
              </w:rPr>
              <w:t>Identify good practices or examples from other countries.</w:t>
            </w:r>
          </w:p>
        </w:tc>
        <w:tc>
          <w:tcPr>
            <w:tcW w:w="3225" w:type="dxa"/>
            <w:shd w:val="clear" w:color="auto" w:fill="auto"/>
            <w:tcMar>
              <w:top w:w="100" w:type="dxa"/>
              <w:left w:w="100" w:type="dxa"/>
              <w:bottom w:w="100" w:type="dxa"/>
              <w:right w:w="100" w:type="dxa"/>
            </w:tcMar>
          </w:tcPr>
          <w:p w14:paraId="3231325F"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p w14:paraId="2466412D"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p w14:paraId="01DF2CF3" w14:textId="77777777" w:rsidR="00A16C76" w:rsidRPr="005113BD" w:rsidRDefault="00A16C76" w:rsidP="00410361">
            <w:pPr>
              <w:widowControl w:val="0"/>
              <w:pBdr>
                <w:top w:val="nil"/>
                <w:left w:val="nil"/>
                <w:bottom w:val="nil"/>
                <w:right w:val="nil"/>
                <w:between w:val="nil"/>
              </w:pBdr>
              <w:spacing w:line="240" w:lineRule="auto"/>
              <w:jc w:val="both"/>
              <w:rPr>
                <w:rFonts w:asciiTheme="majorHAnsi" w:hAnsiTheme="majorHAnsi" w:cstheme="majorHAnsi"/>
              </w:rPr>
            </w:pPr>
          </w:p>
        </w:tc>
      </w:tr>
    </w:tbl>
    <w:p w14:paraId="5CCF533B" w14:textId="77777777" w:rsidR="00A16C76" w:rsidRPr="005113BD" w:rsidRDefault="00A16C76">
      <w:pPr>
        <w:rPr>
          <w:rFonts w:asciiTheme="majorHAnsi" w:hAnsiTheme="majorHAnsi" w:cstheme="majorHAnsi"/>
        </w:rPr>
      </w:pPr>
    </w:p>
    <w:p w14:paraId="18B8F5DF" w14:textId="2659FF9D" w:rsidR="00A16C76" w:rsidRPr="005113BD" w:rsidRDefault="00F36BA2">
      <w:pPr>
        <w:rPr>
          <w:rFonts w:asciiTheme="majorHAnsi" w:hAnsiTheme="majorHAnsi" w:cstheme="majorHAnsi"/>
        </w:rPr>
      </w:pPr>
      <w:r w:rsidRPr="005113BD">
        <w:rPr>
          <w:rFonts w:asciiTheme="majorHAnsi" w:hAnsiTheme="majorHAnsi" w:cstheme="majorHAnsi"/>
          <w:b/>
          <w:bCs/>
          <w:u w:val="single"/>
        </w:rPr>
        <w:t>Methodology</w:t>
      </w:r>
      <w:r w:rsidRPr="005113BD">
        <w:rPr>
          <w:rFonts w:asciiTheme="majorHAnsi" w:hAnsiTheme="majorHAnsi" w:cstheme="majorHAnsi"/>
          <w:u w:val="single"/>
        </w:rPr>
        <w:t>:</w:t>
      </w:r>
      <w:r w:rsidRPr="005113BD">
        <w:rPr>
          <w:rFonts w:asciiTheme="majorHAnsi" w:hAnsiTheme="majorHAnsi" w:cstheme="majorHAnsi"/>
        </w:rPr>
        <w:t xml:space="preserve"> desk research and interview</w:t>
      </w:r>
      <w:r w:rsidR="00DB18EF" w:rsidRPr="005113BD">
        <w:rPr>
          <w:rFonts w:asciiTheme="majorHAnsi" w:hAnsiTheme="majorHAnsi" w:cstheme="majorHAnsi"/>
        </w:rPr>
        <w:t>s</w:t>
      </w:r>
      <w:r w:rsidRPr="005113BD">
        <w:rPr>
          <w:rFonts w:asciiTheme="majorHAnsi" w:hAnsiTheme="majorHAnsi" w:cstheme="majorHAnsi"/>
        </w:rPr>
        <w:t xml:space="preserve"> </w:t>
      </w:r>
      <w:r w:rsidR="00DB18EF" w:rsidRPr="005113BD">
        <w:rPr>
          <w:rFonts w:asciiTheme="majorHAnsi" w:hAnsiTheme="majorHAnsi" w:cstheme="majorHAnsi"/>
        </w:rPr>
        <w:t xml:space="preserve">with </w:t>
      </w:r>
      <w:r w:rsidRPr="005113BD">
        <w:rPr>
          <w:rFonts w:asciiTheme="majorHAnsi" w:hAnsiTheme="majorHAnsi" w:cstheme="majorHAnsi"/>
        </w:rPr>
        <w:t>Fair Trade experts, government officials.</w:t>
      </w:r>
    </w:p>
    <w:p w14:paraId="0ABD3405" w14:textId="77777777" w:rsidR="00A16C76" w:rsidRPr="005113BD" w:rsidRDefault="00A16C76">
      <w:pPr>
        <w:rPr>
          <w:rFonts w:asciiTheme="majorHAnsi" w:hAnsiTheme="majorHAnsi" w:cstheme="majorHAnsi"/>
        </w:rPr>
      </w:pPr>
    </w:p>
    <w:p w14:paraId="17816CA6" w14:textId="77777777" w:rsidR="00A16C76" w:rsidRPr="005113BD" w:rsidRDefault="00F36BA2">
      <w:pPr>
        <w:rPr>
          <w:rFonts w:asciiTheme="majorHAnsi" w:hAnsiTheme="majorHAnsi" w:cstheme="majorHAnsi"/>
        </w:rPr>
      </w:pPr>
      <w:r w:rsidRPr="005113BD">
        <w:rPr>
          <w:rFonts w:asciiTheme="majorHAnsi" w:hAnsiTheme="majorHAnsi" w:cstheme="majorHAnsi"/>
          <w:b/>
          <w:bCs/>
          <w:u w:val="single"/>
        </w:rPr>
        <w:t>Recommendation to consultants</w:t>
      </w:r>
      <w:r w:rsidRPr="005113BD">
        <w:rPr>
          <w:rFonts w:asciiTheme="majorHAnsi" w:hAnsiTheme="majorHAnsi" w:cstheme="majorHAnsi"/>
          <w:u w:val="single"/>
        </w:rPr>
        <w:t>:</w:t>
      </w:r>
      <w:r w:rsidRPr="005113BD">
        <w:rPr>
          <w:rFonts w:asciiTheme="majorHAnsi" w:hAnsiTheme="majorHAnsi" w:cstheme="majorHAnsi"/>
        </w:rPr>
        <w:t xml:space="preserve"> check with FTAO before starting research (to avoid double work), they also have large network of contacts in Fair Trade sector and in government, which can help in providing data.</w:t>
      </w:r>
    </w:p>
    <w:p w14:paraId="242D589A" w14:textId="77777777" w:rsidR="00A16C76" w:rsidRPr="005113BD" w:rsidRDefault="00A16C76">
      <w:pPr>
        <w:rPr>
          <w:rFonts w:asciiTheme="majorHAnsi" w:hAnsiTheme="majorHAnsi" w:cstheme="majorHAnsi"/>
          <w:b/>
          <w:bCs/>
        </w:rPr>
      </w:pPr>
    </w:p>
    <w:p w14:paraId="7AACD1DA" w14:textId="00856FB6" w:rsidR="00A16C76" w:rsidRPr="005113BD" w:rsidRDefault="00B86492">
      <w:pPr>
        <w:rPr>
          <w:rFonts w:asciiTheme="majorHAnsi" w:hAnsiTheme="majorHAnsi" w:cstheme="majorHAnsi"/>
          <w:b/>
          <w:bCs/>
          <w:u w:val="single"/>
        </w:rPr>
      </w:pPr>
      <w:r w:rsidRPr="005113BD">
        <w:rPr>
          <w:rFonts w:asciiTheme="majorHAnsi" w:hAnsiTheme="majorHAnsi" w:cstheme="majorHAnsi"/>
          <w:b/>
          <w:bCs/>
          <w:u w:val="single"/>
        </w:rPr>
        <w:t>Required experience from expert:</w:t>
      </w:r>
    </w:p>
    <w:p w14:paraId="395F0869" w14:textId="77777777" w:rsidR="00B86492" w:rsidRPr="005113BD" w:rsidRDefault="00B86492" w:rsidP="00B86492">
      <w:pPr>
        <w:numPr>
          <w:ilvl w:val="0"/>
          <w:numId w:val="1"/>
        </w:numPr>
        <w:rPr>
          <w:rFonts w:asciiTheme="majorHAnsi" w:hAnsiTheme="majorHAnsi" w:cstheme="majorHAnsi"/>
        </w:rPr>
      </w:pPr>
      <w:r w:rsidRPr="005113BD">
        <w:rPr>
          <w:rFonts w:asciiTheme="majorHAnsi" w:hAnsiTheme="majorHAnsi" w:cstheme="majorHAnsi"/>
        </w:rPr>
        <w:t>(required) experience in analysis market data on sustainable consumption production in the Andean countries or the EU</w:t>
      </w:r>
    </w:p>
    <w:p w14:paraId="0DD2657C" w14:textId="77777777" w:rsidR="00B86492" w:rsidRPr="005113BD" w:rsidRDefault="00B86492" w:rsidP="00B86492">
      <w:pPr>
        <w:numPr>
          <w:ilvl w:val="0"/>
          <w:numId w:val="1"/>
        </w:numPr>
        <w:rPr>
          <w:rFonts w:asciiTheme="majorHAnsi" w:hAnsiTheme="majorHAnsi" w:cstheme="majorHAnsi"/>
        </w:rPr>
      </w:pPr>
      <w:r w:rsidRPr="005113BD">
        <w:rPr>
          <w:rFonts w:asciiTheme="majorHAnsi" w:hAnsiTheme="majorHAnsi" w:cstheme="majorHAnsi"/>
        </w:rPr>
        <w:t>(required) experience in analysing sustainable consumption and production public policies in the Andean countries or the EU</w:t>
      </w:r>
    </w:p>
    <w:p w14:paraId="5B8C0882" w14:textId="77777777" w:rsidR="00B86492" w:rsidRPr="005113BD" w:rsidRDefault="00B86492" w:rsidP="00B86492">
      <w:pPr>
        <w:numPr>
          <w:ilvl w:val="0"/>
          <w:numId w:val="1"/>
        </w:numPr>
        <w:rPr>
          <w:rFonts w:asciiTheme="majorHAnsi" w:hAnsiTheme="majorHAnsi" w:cstheme="majorHAnsi"/>
        </w:rPr>
      </w:pPr>
      <w:r w:rsidRPr="005113BD">
        <w:rPr>
          <w:rFonts w:asciiTheme="majorHAnsi" w:hAnsiTheme="majorHAnsi" w:cstheme="majorHAnsi"/>
        </w:rPr>
        <w:t>(required) fluent English and Spanish</w:t>
      </w:r>
    </w:p>
    <w:p w14:paraId="262F417D" w14:textId="77777777" w:rsidR="00B86492" w:rsidRPr="005113BD" w:rsidRDefault="00B86492" w:rsidP="00B86492">
      <w:pPr>
        <w:numPr>
          <w:ilvl w:val="0"/>
          <w:numId w:val="1"/>
        </w:numPr>
        <w:rPr>
          <w:rFonts w:asciiTheme="majorHAnsi" w:hAnsiTheme="majorHAnsi" w:cstheme="majorHAnsi"/>
        </w:rPr>
      </w:pPr>
      <w:r w:rsidRPr="005113BD">
        <w:rPr>
          <w:rFonts w:asciiTheme="majorHAnsi" w:hAnsiTheme="majorHAnsi" w:cstheme="majorHAnsi"/>
        </w:rPr>
        <w:t>(desirable) experience on market data Fair Trade products</w:t>
      </w:r>
    </w:p>
    <w:p w14:paraId="4B461FCA" w14:textId="387AF597" w:rsidR="00A16C76" w:rsidRPr="005113BD" w:rsidRDefault="00B86492" w:rsidP="00B22C49">
      <w:pPr>
        <w:numPr>
          <w:ilvl w:val="0"/>
          <w:numId w:val="1"/>
        </w:numPr>
        <w:rPr>
          <w:rFonts w:asciiTheme="majorHAnsi" w:hAnsiTheme="majorHAnsi" w:cstheme="majorHAnsi"/>
        </w:rPr>
      </w:pPr>
      <w:r w:rsidRPr="005113BD">
        <w:rPr>
          <w:rFonts w:asciiTheme="majorHAnsi" w:hAnsiTheme="majorHAnsi" w:cstheme="majorHAnsi"/>
        </w:rPr>
        <w:t>(desirable) experience on sustainable consumption Fair Trade public policies</w:t>
      </w:r>
    </w:p>
    <w:p w14:paraId="602C77B9" w14:textId="24F9D431" w:rsidR="00A36D8A" w:rsidRPr="005113BD" w:rsidRDefault="00A36D8A" w:rsidP="00A36D8A">
      <w:pPr>
        <w:rPr>
          <w:rFonts w:asciiTheme="majorHAnsi" w:hAnsiTheme="majorHAnsi" w:cstheme="majorHAnsi"/>
        </w:rPr>
      </w:pPr>
    </w:p>
    <w:p w14:paraId="1F4E296E" w14:textId="14F8F600" w:rsidR="00A36D8A" w:rsidRPr="005113BD" w:rsidRDefault="00A36D8A" w:rsidP="00A36D8A">
      <w:pPr>
        <w:rPr>
          <w:rFonts w:asciiTheme="majorHAnsi" w:hAnsiTheme="majorHAnsi" w:cstheme="majorHAnsi"/>
        </w:rPr>
      </w:pPr>
      <w:r w:rsidRPr="005113BD">
        <w:rPr>
          <w:rFonts w:asciiTheme="majorHAnsi" w:hAnsiTheme="majorHAnsi" w:cstheme="majorHAnsi"/>
          <w:b/>
          <w:bCs/>
          <w:u w:val="single"/>
        </w:rPr>
        <w:t>Expected Start Date</w:t>
      </w:r>
      <w:r w:rsidRPr="005113BD">
        <w:rPr>
          <w:rFonts w:asciiTheme="majorHAnsi" w:hAnsiTheme="majorHAnsi" w:cstheme="majorHAnsi"/>
        </w:rPr>
        <w:t xml:space="preserve">: </w:t>
      </w:r>
      <w:r w:rsidRPr="005113BD">
        <w:rPr>
          <w:rFonts w:asciiTheme="majorHAnsi" w:hAnsiTheme="majorHAnsi" w:cstheme="majorHAnsi"/>
          <w:i/>
          <w:iCs/>
        </w:rPr>
        <w:t>As soon as possible</w:t>
      </w:r>
      <w:r w:rsidRPr="005113BD">
        <w:rPr>
          <w:rFonts w:asciiTheme="majorHAnsi" w:hAnsiTheme="majorHAnsi" w:cstheme="majorHAnsi"/>
        </w:rPr>
        <w:t xml:space="preserve"> (timeline to be discussed with the DAG members).</w:t>
      </w:r>
    </w:p>
    <w:p w14:paraId="2E021287" w14:textId="6B04BEC4" w:rsidR="00A36D8A" w:rsidRPr="005113BD" w:rsidRDefault="00A36D8A" w:rsidP="00410361">
      <w:pPr>
        <w:jc w:val="both"/>
        <w:rPr>
          <w:rFonts w:asciiTheme="majorHAnsi" w:hAnsiTheme="majorHAnsi" w:cstheme="majorHAnsi"/>
        </w:rPr>
      </w:pPr>
      <w:r w:rsidRPr="005113BD">
        <w:rPr>
          <w:rFonts w:asciiTheme="majorHAnsi" w:hAnsiTheme="majorHAnsi" w:cstheme="majorHAnsi"/>
          <w:b/>
          <w:bCs/>
        </w:rPr>
        <w:t xml:space="preserve">Expected Duration: </w:t>
      </w:r>
      <w:r w:rsidRPr="005113BD">
        <w:rPr>
          <w:rFonts w:asciiTheme="majorHAnsi" w:hAnsiTheme="majorHAnsi" w:cstheme="majorHAnsi"/>
          <w:i/>
          <w:iCs/>
        </w:rPr>
        <w:t xml:space="preserve">Realisation and writing of the study to take place over a period of approx. </w:t>
      </w:r>
      <w:r w:rsidRPr="005113BD">
        <w:rPr>
          <w:rFonts w:asciiTheme="majorHAnsi" w:hAnsiTheme="majorHAnsi" w:cstheme="majorHAnsi"/>
          <w:b/>
          <w:bCs/>
          <w:i/>
          <w:iCs/>
        </w:rPr>
        <w:t>2 months</w:t>
      </w:r>
      <w:r w:rsidRPr="005113BD">
        <w:rPr>
          <w:rFonts w:asciiTheme="majorHAnsi" w:hAnsiTheme="majorHAnsi" w:cstheme="majorHAnsi"/>
        </w:rPr>
        <w:t xml:space="preserve">.  No. of Working Days to be discussed according to the scope of the study and availability of the expert. </w:t>
      </w:r>
    </w:p>
    <w:p w14:paraId="7C6A4C2B" w14:textId="1647EF47" w:rsidR="00A36D8A" w:rsidRDefault="00A36D8A" w:rsidP="00A36D8A">
      <w:pPr>
        <w:rPr>
          <w:rFonts w:asciiTheme="majorHAnsi" w:hAnsiTheme="majorHAnsi" w:cstheme="majorHAnsi"/>
        </w:rPr>
      </w:pPr>
    </w:p>
    <w:p w14:paraId="60B32E17" w14:textId="3DE235A9" w:rsidR="00E10CA9" w:rsidRPr="005113BD" w:rsidRDefault="00E10CA9" w:rsidP="00A36D8A">
      <w:pPr>
        <w:rPr>
          <w:rFonts w:asciiTheme="majorHAnsi" w:hAnsiTheme="majorHAnsi" w:cstheme="majorHAnsi"/>
        </w:rPr>
      </w:pPr>
      <w:r w:rsidRPr="00F01F11">
        <w:rPr>
          <w:rFonts w:asciiTheme="majorHAnsi" w:hAnsiTheme="majorHAnsi" w:cstheme="majorHAnsi"/>
          <w:b/>
          <w:bCs/>
        </w:rPr>
        <w:t>Please send your CV to</w:t>
      </w:r>
      <w:r>
        <w:rPr>
          <w:rFonts w:asciiTheme="majorHAnsi" w:hAnsiTheme="majorHAnsi" w:cstheme="majorHAnsi"/>
        </w:rPr>
        <w:t xml:space="preserve"> </w:t>
      </w:r>
      <w:hyperlink r:id="rId9" w:history="1">
        <w:r w:rsidRPr="00D20E87">
          <w:rPr>
            <w:rStyle w:val="Lienhypertexte"/>
            <w:rFonts w:asciiTheme="majorHAnsi" w:hAnsiTheme="majorHAnsi" w:cstheme="majorHAnsi"/>
          </w:rPr>
          <w:t>ejorquera@dmiassociates.com</w:t>
        </w:r>
      </w:hyperlink>
      <w:r>
        <w:rPr>
          <w:rFonts w:asciiTheme="majorHAnsi" w:hAnsiTheme="majorHAnsi" w:cstheme="majorHAnsi"/>
        </w:rPr>
        <w:t xml:space="preserve"> and </w:t>
      </w:r>
      <w:hyperlink r:id="rId10" w:history="1">
        <w:r w:rsidRPr="00D20E87">
          <w:rPr>
            <w:rStyle w:val="Lienhypertexte"/>
            <w:rFonts w:asciiTheme="majorHAnsi" w:hAnsiTheme="majorHAnsi" w:cstheme="majorHAnsi"/>
          </w:rPr>
          <w:t>doussenova@dmiassociates.com</w:t>
        </w:r>
      </w:hyperlink>
      <w:r>
        <w:rPr>
          <w:rFonts w:asciiTheme="majorHAnsi" w:hAnsiTheme="majorHAnsi" w:cstheme="majorHAnsi"/>
        </w:rPr>
        <w:t xml:space="preserve"> </w:t>
      </w:r>
      <w:r w:rsidR="00F00E33">
        <w:rPr>
          <w:rFonts w:asciiTheme="majorHAnsi" w:hAnsiTheme="majorHAnsi" w:cstheme="majorHAnsi"/>
        </w:rPr>
        <w:t xml:space="preserve">by </w:t>
      </w:r>
      <w:r w:rsidR="00F00E33" w:rsidRPr="00F00E33">
        <w:rPr>
          <w:rFonts w:asciiTheme="majorHAnsi" w:hAnsiTheme="majorHAnsi" w:cstheme="majorHAnsi"/>
          <w:b/>
          <w:bCs/>
        </w:rPr>
        <w:t>Monday 28</w:t>
      </w:r>
      <w:r w:rsidR="00F00E33" w:rsidRPr="00F00E33">
        <w:rPr>
          <w:rFonts w:asciiTheme="majorHAnsi" w:hAnsiTheme="majorHAnsi" w:cstheme="majorHAnsi"/>
          <w:b/>
          <w:bCs/>
          <w:vertAlign w:val="superscript"/>
        </w:rPr>
        <w:t>th</w:t>
      </w:r>
      <w:r w:rsidR="00F00E33" w:rsidRPr="00F00E33">
        <w:rPr>
          <w:rFonts w:asciiTheme="majorHAnsi" w:hAnsiTheme="majorHAnsi" w:cstheme="majorHAnsi"/>
          <w:b/>
          <w:bCs/>
        </w:rPr>
        <w:t xml:space="preserve"> February 2022</w:t>
      </w:r>
      <w:r w:rsidR="00F00E33">
        <w:rPr>
          <w:rFonts w:asciiTheme="majorHAnsi" w:hAnsiTheme="majorHAnsi" w:cstheme="majorHAnsi"/>
        </w:rPr>
        <w:t>.</w:t>
      </w:r>
    </w:p>
    <w:sectPr w:rsidR="00E10CA9" w:rsidRPr="005113BD" w:rsidSect="00CD50ED">
      <w:pgSz w:w="11909" w:h="16834"/>
      <w:pgMar w:top="56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B63"/>
    <w:multiLevelType w:val="hybridMultilevel"/>
    <w:tmpl w:val="6D98CC60"/>
    <w:lvl w:ilvl="0" w:tplc="156E6E9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01B7370"/>
    <w:multiLevelType w:val="hybridMultilevel"/>
    <w:tmpl w:val="50C0424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07540"/>
    <w:multiLevelType w:val="hybridMultilevel"/>
    <w:tmpl w:val="C0CA9812"/>
    <w:lvl w:ilvl="0" w:tplc="72581218">
      <w:start w:val="1"/>
      <w:numFmt w:val="bullet"/>
      <w:lvlText w:val=""/>
      <w:lvlJc w:val="left"/>
      <w:pPr>
        <w:ind w:left="720" w:hanging="360"/>
      </w:pPr>
      <w:rPr>
        <w:rFonts w:ascii="Wingdings" w:hAnsi="Wingdings" w:hint="default"/>
        <w:b w:val="0"/>
        <w:bCs w:val="0"/>
        <w:i w:val="0"/>
        <w:iCs w:val="0"/>
        <w:color w:val="E36C0A"/>
        <w:sz w:val="24"/>
        <w:szCs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F9443B"/>
    <w:multiLevelType w:val="hybridMultilevel"/>
    <w:tmpl w:val="43C8AA5A"/>
    <w:lvl w:ilvl="0" w:tplc="418C0B2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D1E26"/>
    <w:multiLevelType w:val="multilevel"/>
    <w:tmpl w:val="B400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C6B6E"/>
    <w:multiLevelType w:val="hybridMultilevel"/>
    <w:tmpl w:val="464A09E6"/>
    <w:lvl w:ilvl="0" w:tplc="DDA485A6">
      <w:start w:val="1"/>
      <w:numFmt w:val="bullet"/>
      <w:pStyle w:val="BULLET"/>
      <w:lvlText w:val=""/>
      <w:lvlJc w:val="left"/>
      <w:pPr>
        <w:ind w:left="1212" w:hanging="360"/>
      </w:pPr>
      <w:rPr>
        <w:rFonts w:ascii="Wingdings" w:hAnsi="Wingdings" w:hint="default"/>
        <w:b w:val="0"/>
        <w:bCs w:val="0"/>
        <w:i w:val="0"/>
        <w:iCs w:val="0"/>
        <w:color w:val="E36C0A"/>
        <w:sz w:val="20"/>
        <w:szCs w:val="24"/>
      </w:rPr>
    </w:lvl>
    <w:lvl w:ilvl="1" w:tplc="9EBCF810">
      <w:start w:val="1"/>
      <w:numFmt w:val="bullet"/>
      <w:pStyle w:val="Style6"/>
      <w:lvlText w:val="o"/>
      <w:lvlJc w:val="left"/>
      <w:pPr>
        <w:ind w:left="1668" w:hanging="390"/>
      </w:pPr>
      <w:rPr>
        <w:rFonts w:ascii="Courier New" w:hAnsi="Courier New" w:cs="Courier New" w:hint="default"/>
        <w:b/>
      </w:rPr>
    </w:lvl>
    <w:lvl w:ilvl="2" w:tplc="2A30E55A" w:tentative="1">
      <w:start w:val="1"/>
      <w:numFmt w:val="bullet"/>
      <w:lvlText w:val=""/>
      <w:lvlJc w:val="left"/>
      <w:pPr>
        <w:ind w:left="2652" w:hanging="360"/>
      </w:pPr>
      <w:rPr>
        <w:rFonts w:ascii="Wingdings" w:hAnsi="Wingdings" w:hint="default"/>
      </w:rPr>
    </w:lvl>
    <w:lvl w:ilvl="3" w:tplc="6440817A" w:tentative="1">
      <w:start w:val="1"/>
      <w:numFmt w:val="bullet"/>
      <w:lvlText w:val=""/>
      <w:lvlJc w:val="left"/>
      <w:pPr>
        <w:ind w:left="3372" w:hanging="360"/>
      </w:pPr>
      <w:rPr>
        <w:rFonts w:ascii="Symbol" w:hAnsi="Symbol" w:hint="default"/>
      </w:rPr>
    </w:lvl>
    <w:lvl w:ilvl="4" w:tplc="A8F06CBA" w:tentative="1">
      <w:start w:val="1"/>
      <w:numFmt w:val="bullet"/>
      <w:lvlText w:val="o"/>
      <w:lvlJc w:val="left"/>
      <w:pPr>
        <w:ind w:left="4092" w:hanging="360"/>
      </w:pPr>
      <w:rPr>
        <w:rFonts w:ascii="Courier New" w:hAnsi="Courier New" w:cs="Courier New" w:hint="default"/>
      </w:rPr>
    </w:lvl>
    <w:lvl w:ilvl="5" w:tplc="AB0EC96C" w:tentative="1">
      <w:start w:val="1"/>
      <w:numFmt w:val="bullet"/>
      <w:lvlText w:val=""/>
      <w:lvlJc w:val="left"/>
      <w:pPr>
        <w:ind w:left="4812" w:hanging="360"/>
      </w:pPr>
      <w:rPr>
        <w:rFonts w:ascii="Wingdings" w:hAnsi="Wingdings" w:hint="default"/>
      </w:rPr>
    </w:lvl>
    <w:lvl w:ilvl="6" w:tplc="CFD486D4" w:tentative="1">
      <w:start w:val="1"/>
      <w:numFmt w:val="bullet"/>
      <w:lvlText w:val=""/>
      <w:lvlJc w:val="left"/>
      <w:pPr>
        <w:ind w:left="5532" w:hanging="360"/>
      </w:pPr>
      <w:rPr>
        <w:rFonts w:ascii="Symbol" w:hAnsi="Symbol" w:hint="default"/>
      </w:rPr>
    </w:lvl>
    <w:lvl w:ilvl="7" w:tplc="E954D0DC" w:tentative="1">
      <w:start w:val="1"/>
      <w:numFmt w:val="bullet"/>
      <w:lvlText w:val="o"/>
      <w:lvlJc w:val="left"/>
      <w:pPr>
        <w:ind w:left="6252" w:hanging="360"/>
      </w:pPr>
      <w:rPr>
        <w:rFonts w:ascii="Courier New" w:hAnsi="Courier New" w:cs="Courier New" w:hint="default"/>
      </w:rPr>
    </w:lvl>
    <w:lvl w:ilvl="8" w:tplc="02480492" w:tentative="1">
      <w:start w:val="1"/>
      <w:numFmt w:val="bullet"/>
      <w:lvlText w:val=""/>
      <w:lvlJc w:val="left"/>
      <w:pPr>
        <w:ind w:left="6972"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76"/>
    <w:rsid w:val="00147A83"/>
    <w:rsid w:val="001D010E"/>
    <w:rsid w:val="00287C05"/>
    <w:rsid w:val="002B0BC1"/>
    <w:rsid w:val="003F79C2"/>
    <w:rsid w:val="00410361"/>
    <w:rsid w:val="004F48BB"/>
    <w:rsid w:val="005113BD"/>
    <w:rsid w:val="0052489D"/>
    <w:rsid w:val="00606EDC"/>
    <w:rsid w:val="00664EA7"/>
    <w:rsid w:val="006C055C"/>
    <w:rsid w:val="0089086F"/>
    <w:rsid w:val="00A16C76"/>
    <w:rsid w:val="00A36D8A"/>
    <w:rsid w:val="00B22C49"/>
    <w:rsid w:val="00B50641"/>
    <w:rsid w:val="00B609FB"/>
    <w:rsid w:val="00B86492"/>
    <w:rsid w:val="00BC4042"/>
    <w:rsid w:val="00CD50ED"/>
    <w:rsid w:val="00D956D3"/>
    <w:rsid w:val="00DB18EF"/>
    <w:rsid w:val="00E10CA9"/>
    <w:rsid w:val="00F00E33"/>
    <w:rsid w:val="00F01F11"/>
    <w:rsid w:val="00F3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199C"/>
  <w15:docId w15:val="{D43CAA04-E7D6-4D5F-ACB5-D3504199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52489D"/>
    <w:rPr>
      <w:sz w:val="16"/>
      <w:szCs w:val="16"/>
    </w:rPr>
  </w:style>
  <w:style w:type="paragraph" w:styleId="Commentaire">
    <w:name w:val="annotation text"/>
    <w:basedOn w:val="Normal"/>
    <w:link w:val="CommentaireCar"/>
    <w:uiPriority w:val="99"/>
    <w:semiHidden/>
    <w:unhideWhenUsed/>
    <w:rsid w:val="0052489D"/>
    <w:pPr>
      <w:spacing w:line="240" w:lineRule="auto"/>
    </w:pPr>
    <w:rPr>
      <w:sz w:val="20"/>
      <w:szCs w:val="20"/>
    </w:rPr>
  </w:style>
  <w:style w:type="character" w:customStyle="1" w:styleId="CommentaireCar">
    <w:name w:val="Commentaire Car"/>
    <w:basedOn w:val="Policepardfaut"/>
    <w:link w:val="Commentaire"/>
    <w:uiPriority w:val="99"/>
    <w:semiHidden/>
    <w:rsid w:val="0052489D"/>
    <w:rPr>
      <w:sz w:val="20"/>
      <w:szCs w:val="20"/>
    </w:rPr>
  </w:style>
  <w:style w:type="paragraph" w:styleId="Objetducommentaire">
    <w:name w:val="annotation subject"/>
    <w:basedOn w:val="Commentaire"/>
    <w:next w:val="Commentaire"/>
    <w:link w:val="ObjetducommentaireCar"/>
    <w:uiPriority w:val="99"/>
    <w:semiHidden/>
    <w:unhideWhenUsed/>
    <w:rsid w:val="0052489D"/>
    <w:rPr>
      <w:b/>
      <w:bCs/>
    </w:rPr>
  </w:style>
  <w:style w:type="character" w:customStyle="1" w:styleId="ObjetducommentaireCar">
    <w:name w:val="Objet du commentaire Car"/>
    <w:basedOn w:val="CommentaireCar"/>
    <w:link w:val="Objetducommentaire"/>
    <w:uiPriority w:val="99"/>
    <w:semiHidden/>
    <w:rsid w:val="0052489D"/>
    <w:rPr>
      <w:b/>
      <w:bCs/>
      <w:sz w:val="20"/>
      <w:szCs w:val="20"/>
    </w:rPr>
  </w:style>
  <w:style w:type="paragraph" w:styleId="Textedebulles">
    <w:name w:val="Balloon Text"/>
    <w:basedOn w:val="Normal"/>
    <w:link w:val="TextedebullesCar"/>
    <w:uiPriority w:val="99"/>
    <w:semiHidden/>
    <w:unhideWhenUsed/>
    <w:rsid w:val="0052489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89D"/>
    <w:rPr>
      <w:rFonts w:ascii="Segoe UI" w:hAnsi="Segoe UI" w:cs="Segoe UI"/>
      <w:sz w:val="18"/>
      <w:szCs w:val="18"/>
    </w:rPr>
  </w:style>
  <w:style w:type="paragraph" w:styleId="Paragraphedeliste">
    <w:name w:val="List Paragraph"/>
    <w:basedOn w:val="Normal"/>
    <w:uiPriority w:val="34"/>
    <w:qFormat/>
    <w:rsid w:val="00A36D8A"/>
    <w:pPr>
      <w:spacing w:after="240" w:line="240" w:lineRule="auto"/>
      <w:ind w:left="720"/>
    </w:pPr>
    <w:rPr>
      <w:rFonts w:ascii="Calibri" w:eastAsia="Times New Roman" w:hAnsi="Calibri"/>
      <w:sz w:val="24"/>
      <w:lang w:val="en-US" w:eastAsia="en-US"/>
    </w:rPr>
  </w:style>
  <w:style w:type="paragraph" w:styleId="Textebrut">
    <w:name w:val="Plain Text"/>
    <w:basedOn w:val="Normal"/>
    <w:link w:val="TextebrutCar"/>
    <w:uiPriority w:val="99"/>
    <w:unhideWhenUsed/>
    <w:rsid w:val="00A36D8A"/>
    <w:pPr>
      <w:spacing w:line="240" w:lineRule="auto"/>
    </w:pPr>
    <w:rPr>
      <w:rFonts w:ascii="Calibri" w:eastAsiaTheme="minorHAnsi" w:hAnsi="Calibri" w:cs="Calibri"/>
      <w:lang w:val="en-US" w:eastAsia="en-US"/>
    </w:rPr>
  </w:style>
  <w:style w:type="character" w:customStyle="1" w:styleId="TextebrutCar">
    <w:name w:val="Texte brut Car"/>
    <w:basedOn w:val="Policepardfaut"/>
    <w:link w:val="Textebrut"/>
    <w:uiPriority w:val="99"/>
    <w:rsid w:val="00A36D8A"/>
    <w:rPr>
      <w:rFonts w:ascii="Calibri" w:eastAsiaTheme="minorHAnsi" w:hAnsi="Calibri" w:cs="Calibri"/>
      <w:lang w:val="en-US" w:eastAsia="en-US"/>
    </w:rPr>
  </w:style>
  <w:style w:type="paragraph" w:customStyle="1" w:styleId="BULLET">
    <w:name w:val="BULLET"/>
    <w:basedOn w:val="Normal"/>
    <w:link w:val="BULLETCar"/>
    <w:qFormat/>
    <w:rsid w:val="00A36D8A"/>
    <w:pPr>
      <w:numPr>
        <w:numId w:val="5"/>
      </w:numPr>
      <w:spacing w:before="120" w:after="120"/>
      <w:jc w:val="both"/>
    </w:pPr>
    <w:rPr>
      <w:rFonts w:asciiTheme="minorHAnsi" w:eastAsiaTheme="minorHAnsi" w:hAnsiTheme="minorHAnsi" w:cstheme="minorBidi"/>
      <w:sz w:val="20"/>
      <w:lang w:val="en-US" w:eastAsia="en-US"/>
    </w:rPr>
  </w:style>
  <w:style w:type="character" w:customStyle="1" w:styleId="BULLETCar">
    <w:name w:val="BULLET Car"/>
    <w:basedOn w:val="Policepardfaut"/>
    <w:link w:val="BULLET"/>
    <w:rsid w:val="00A36D8A"/>
    <w:rPr>
      <w:rFonts w:asciiTheme="minorHAnsi" w:eastAsiaTheme="minorHAnsi" w:hAnsiTheme="minorHAnsi" w:cstheme="minorBidi"/>
      <w:sz w:val="20"/>
      <w:lang w:val="en-US" w:eastAsia="en-US"/>
    </w:rPr>
  </w:style>
  <w:style w:type="paragraph" w:customStyle="1" w:styleId="Style6">
    <w:name w:val="Style6"/>
    <w:basedOn w:val="BULLET"/>
    <w:qFormat/>
    <w:rsid w:val="00A36D8A"/>
    <w:pPr>
      <w:numPr>
        <w:ilvl w:val="1"/>
      </w:numPr>
      <w:tabs>
        <w:tab w:val="num" w:pos="360"/>
      </w:tabs>
      <w:ind w:left="1440" w:hanging="360"/>
    </w:pPr>
  </w:style>
  <w:style w:type="character" w:styleId="Lienhypertexte">
    <w:name w:val="Hyperlink"/>
    <w:basedOn w:val="Policepardfaut"/>
    <w:uiPriority w:val="99"/>
    <w:unhideWhenUsed/>
    <w:rsid w:val="00E10CA9"/>
    <w:rPr>
      <w:color w:val="0000FF" w:themeColor="hyperlink"/>
      <w:u w:val="single"/>
    </w:rPr>
  </w:style>
  <w:style w:type="character" w:styleId="Mentionnonrsolue">
    <w:name w:val="Unresolved Mention"/>
    <w:basedOn w:val="Policepardfaut"/>
    <w:uiPriority w:val="99"/>
    <w:semiHidden/>
    <w:unhideWhenUsed/>
    <w:rsid w:val="00E1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1263">
      <w:bodyDiv w:val="1"/>
      <w:marLeft w:val="0"/>
      <w:marRight w:val="0"/>
      <w:marTop w:val="0"/>
      <w:marBottom w:val="0"/>
      <w:divBdr>
        <w:top w:val="none" w:sz="0" w:space="0" w:color="auto"/>
        <w:left w:val="none" w:sz="0" w:space="0" w:color="auto"/>
        <w:bottom w:val="none" w:sz="0" w:space="0" w:color="auto"/>
        <w:right w:val="none" w:sz="0" w:space="0" w:color="auto"/>
      </w:divBdr>
    </w:div>
    <w:div w:id="152779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oussenova@dmiassociates.com" TargetMode="External"/><Relationship Id="rId4" Type="http://schemas.openxmlformats.org/officeDocument/2006/relationships/numbering" Target="numbering.xml"/><Relationship Id="rId9" Type="http://schemas.openxmlformats.org/officeDocument/2006/relationships/hyperlink" Target="mailto:ejorquera@dmi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873728788C2E48A43358E23DB55794" ma:contentTypeVersion="0" ma:contentTypeDescription="Ein neues Dokument erstellen." ma:contentTypeScope="" ma:versionID="177b116b5b389bde63b857fbec41a136">
  <xsd:schema xmlns:xsd="http://www.w3.org/2001/XMLSchema" xmlns:xs="http://www.w3.org/2001/XMLSchema" xmlns:p="http://schemas.microsoft.com/office/2006/metadata/properties" xmlns:ns2="d01fc10c-6e58-4dc3-87aa-fe91ca270258" targetNamespace="http://schemas.microsoft.com/office/2006/metadata/properties" ma:root="true" ma:fieldsID="be1f5aa105d623f7fa76c0f41e6eb827" ns2:_="">
    <xsd:import namespace="d01fc10c-6e58-4dc3-87aa-fe91ca2702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c-6e58-4dc3-87aa-fe91ca27025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34A43-EE18-4B82-8EDE-52C0DC181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E4F92-810D-4809-9A5D-44B83BBF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c-6e58-4dc3-87aa-fe91ca270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298F7-C667-4694-B7C1-2F567AF99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6952</Characters>
  <Application>Microsoft Office Word</Application>
  <DocSecurity>0</DocSecurity>
  <Lines>57</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Benedikt Wiedenhofer</dc:creator>
  <cp:lastModifiedBy>Emmanuel GONON</cp:lastModifiedBy>
  <cp:revision>2</cp:revision>
  <cp:lastPrinted>2022-02-14T15:58:00Z</cp:lastPrinted>
  <dcterms:created xsi:type="dcterms:W3CDTF">2022-02-14T16:02:00Z</dcterms:created>
  <dcterms:modified xsi:type="dcterms:W3CDTF">2022-02-14T16:02:00Z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0x01010081873728788C2E48A43358E23DB55794</vt:lpwstr>
  </property>
</Properties>
</file>